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377F" w14:textId="77777777" w:rsidR="00811115" w:rsidRDefault="00811115" w:rsidP="007816B7">
      <w:pPr>
        <w:pStyle w:val="a3"/>
        <w:spacing w:before="9"/>
        <w:ind w:right="537"/>
        <w:jc w:val="both"/>
        <w:rPr>
          <w:rFonts w:ascii="Times New Roman"/>
          <w:bCs/>
          <w:sz w:val="22"/>
          <w:szCs w:val="22"/>
        </w:rPr>
      </w:pPr>
    </w:p>
    <w:p w14:paraId="6AF278FE" w14:textId="255FF2DD" w:rsidR="006501DA" w:rsidRPr="00063073" w:rsidRDefault="002E6FD5" w:rsidP="00063073">
      <w:pPr>
        <w:pStyle w:val="11"/>
        <w:rPr>
          <w:w w:val="90"/>
        </w:rPr>
      </w:pPr>
      <w:bookmarkStart w:id="0" w:name="_Hlk92730328"/>
      <w:r w:rsidRPr="00063073">
        <w:rPr>
          <w:w w:val="90"/>
        </w:rPr>
        <w:t>ΑΝΑΚΟΙΝΩΣΗ ΕΝΗΜΕΡΩΣΗΣ ΤΟΥ ΚΟΙΝΟΥ</w:t>
      </w:r>
    </w:p>
    <w:bookmarkEnd w:id="0"/>
    <w:p w14:paraId="2E43662E" w14:textId="5ED8A4EC" w:rsidR="0008497E" w:rsidRDefault="00063073" w:rsidP="00A23925">
      <w:pPr>
        <w:pStyle w:val="a3"/>
        <w:ind w:left="354" w:right="490" w:firstLine="850"/>
        <w:jc w:val="both"/>
      </w:pPr>
      <w:r w:rsidRPr="00722400">
        <w:rPr>
          <w:b/>
          <w:bCs/>
        </w:rPr>
        <w:t>Η</w:t>
      </w:r>
      <w:r w:rsidR="00CA7B18" w:rsidRPr="00722400">
        <w:rPr>
          <w:b/>
          <w:bCs/>
          <w:spacing w:val="1"/>
        </w:rPr>
        <w:t xml:space="preserve"> </w:t>
      </w:r>
      <w:r w:rsidR="00C606EA">
        <w:rPr>
          <w:b/>
          <w:bCs/>
        </w:rPr>
        <w:t>εγκατάσταση</w:t>
      </w:r>
      <w:r w:rsidR="00C606EA" w:rsidRPr="00C606EA">
        <w:rPr>
          <w:rFonts w:ascii="Times New Roman"/>
        </w:rPr>
        <w:t xml:space="preserve"> </w:t>
      </w:r>
      <w:r w:rsidR="00C606EA" w:rsidRPr="00C606EA">
        <w:rPr>
          <w:rFonts w:ascii="Times New Roman"/>
          <w:b/>
          <w:bCs/>
        </w:rPr>
        <w:t>«</w:t>
      </w:r>
      <w:r w:rsidR="00C606EA" w:rsidRPr="00C606EA">
        <w:rPr>
          <w:b/>
          <w:bCs/>
        </w:rPr>
        <w:t>ΑΔΑΜΑΣ ΠΥΡ ΙΚΕ»</w:t>
      </w:r>
      <w:r w:rsidRPr="00C606EA">
        <w:t xml:space="preserve"> </w:t>
      </w:r>
      <w:r w:rsidR="00CA7B18">
        <w:t xml:space="preserve">βρίσκεται στην </w:t>
      </w:r>
      <w:r w:rsidR="00C606EA" w:rsidRPr="00C606EA">
        <w:t xml:space="preserve">βρίσκεται στη θέση Κατσικάς </w:t>
      </w:r>
      <w:proofErr w:type="spellStart"/>
      <w:r w:rsidR="00C606EA" w:rsidRPr="00C606EA">
        <w:t>Τυμπακίου</w:t>
      </w:r>
      <w:proofErr w:type="spellEnd"/>
      <w:r w:rsidR="00C606EA" w:rsidRPr="00C606EA">
        <w:t xml:space="preserve"> (εντός έκτασης της Πολεμικής Αεροπορίας), Δήμου Φαιστού, Π.Ε. Ηρακλείου</w:t>
      </w:r>
      <w:r w:rsidR="00E83BF9">
        <w:t xml:space="preserve"> και </w:t>
      </w:r>
      <w:r w:rsidR="00CA7B18">
        <w:t>υπόκειται στις διατάξεις της</w:t>
      </w:r>
      <w:r w:rsidR="00CA7B18">
        <w:rPr>
          <w:spacing w:val="1"/>
        </w:rPr>
        <w:t xml:space="preserve"> </w:t>
      </w:r>
      <w:r w:rsidR="00CA7B18">
        <w:t>ΚΥΑ</w:t>
      </w:r>
      <w:r w:rsidR="00CA7B18">
        <w:rPr>
          <w:spacing w:val="-3"/>
        </w:rPr>
        <w:t xml:space="preserve"> </w:t>
      </w:r>
      <w:r w:rsidR="00CA7B18">
        <w:t>172058/2016</w:t>
      </w:r>
      <w:r w:rsidR="00CA7B18">
        <w:rPr>
          <w:spacing w:val="1"/>
        </w:rPr>
        <w:t xml:space="preserve"> </w:t>
      </w:r>
      <w:r w:rsidR="00CA7B18">
        <w:t>(ΦΕΚ</w:t>
      </w:r>
      <w:r w:rsidR="00CA7B18">
        <w:rPr>
          <w:spacing w:val="3"/>
        </w:rPr>
        <w:t xml:space="preserve"> </w:t>
      </w:r>
      <w:r w:rsidR="00CA7B18">
        <w:t>354Β</w:t>
      </w:r>
      <w:r w:rsidR="00253C6E">
        <w:t>/2016)</w:t>
      </w:r>
      <w:r w:rsidR="002E01BD">
        <w:t xml:space="preserve">. </w:t>
      </w:r>
    </w:p>
    <w:p w14:paraId="0AD2BBE7" w14:textId="320BB22E" w:rsidR="0008497E" w:rsidRPr="00921DCB" w:rsidRDefault="002E01BD" w:rsidP="00A23925">
      <w:pPr>
        <w:pStyle w:val="a3"/>
        <w:ind w:left="354" w:right="490" w:firstLine="850"/>
        <w:jc w:val="both"/>
      </w:pPr>
      <w:r w:rsidRPr="00A13C55">
        <w:rPr>
          <w:b/>
          <w:bCs/>
        </w:rPr>
        <w:t xml:space="preserve">Ο </w:t>
      </w:r>
      <w:r w:rsidR="00253C6E" w:rsidRPr="00A13C55">
        <w:rPr>
          <w:b/>
          <w:bCs/>
        </w:rPr>
        <w:t>φάκελος Κοινοποίησης</w:t>
      </w:r>
      <w:r w:rsidR="00253C6E">
        <w:t xml:space="preserve"> έχει θεωρηθεί και </w:t>
      </w:r>
      <w:r w:rsidR="00253C6E" w:rsidRPr="00A13C55">
        <w:rPr>
          <w:b/>
          <w:bCs/>
        </w:rPr>
        <w:t>η Μελέτη Ασφ</w:t>
      </w:r>
      <w:r w:rsidR="005857FD" w:rsidRPr="00A13C55">
        <w:rPr>
          <w:b/>
          <w:bCs/>
        </w:rPr>
        <w:t>αλείας</w:t>
      </w:r>
      <w:r w:rsidR="005857FD">
        <w:t xml:space="preserve"> έχει</w:t>
      </w:r>
      <w:r w:rsidR="00253C6E">
        <w:t xml:space="preserve"> </w:t>
      </w:r>
      <w:r w:rsidR="00253C6E" w:rsidRPr="0002419E">
        <w:t>καταχωρηθεί</w:t>
      </w:r>
      <w:r w:rsidR="00A13C55">
        <w:t xml:space="preserve"> </w:t>
      </w:r>
      <w:r w:rsidR="002B2CB6" w:rsidRPr="00921DCB">
        <w:t>(</w:t>
      </w:r>
      <w:r w:rsidR="0002419E" w:rsidRPr="00921DCB">
        <w:t>αρ.</w:t>
      </w:r>
      <w:r w:rsidR="00921DCB" w:rsidRPr="00921DCB">
        <w:t>8318/17-12-2015 ΑΔΑ: 7ΤΘΗ7ΛΚ-Π5Ζ</w:t>
      </w:r>
      <w:r w:rsidR="002D6DDD">
        <w:t>, προ της αλλαγής επωνυμίας από «ΝΤΑΝΤΟΥΔΗΣ ΧΡΗΣΤΟΣ &amp; ΣΙΑ ΕΕ» σε «ΑΔΑΜΑΣ ΠΥΡ ΙΚΕ»)</w:t>
      </w:r>
      <w:r w:rsidR="0042576B">
        <w:t xml:space="preserve"> από την  </w:t>
      </w:r>
      <w:proofErr w:type="spellStart"/>
      <w:r w:rsidR="0042576B" w:rsidRPr="0042576B">
        <w:t>Αδειοδοτούσα</w:t>
      </w:r>
      <w:proofErr w:type="spellEnd"/>
      <w:r w:rsidR="0042576B" w:rsidRPr="0042576B">
        <w:t xml:space="preserve"> Αρχή (ΠΕΡΙΦΕΡΕΙΑ ΚΡΗΤΗΣ- ΓΕΝΙΚΗ Δ/ΝΣΗ ΑΝΑΠΤΥΞΗΣ-Δ/ΝΣΗ ΑΝΑΠΤΥΞΗΣ Π.Ε. ΗΡΑΚΛΕΙΟΥ-ΤΜΗΜΑ Α΄)</w:t>
      </w:r>
      <w:r w:rsidR="002B2CB6" w:rsidRPr="00921DCB">
        <w:t>.</w:t>
      </w:r>
      <w:r w:rsidR="00A23925" w:rsidRPr="00921DCB">
        <w:t xml:space="preserve"> </w:t>
      </w:r>
    </w:p>
    <w:p w14:paraId="361DCD3B" w14:textId="4ABDCF53" w:rsidR="00831DBF" w:rsidRDefault="007816B7" w:rsidP="00A23925">
      <w:pPr>
        <w:pStyle w:val="a3"/>
        <w:ind w:left="354" w:right="490" w:firstLine="850"/>
        <w:jc w:val="both"/>
      </w:pPr>
      <w:r>
        <w:t>Με τ</w:t>
      </w:r>
      <w:r w:rsidRPr="007816B7">
        <w:t xml:space="preserve">ο </w:t>
      </w:r>
      <w:proofErr w:type="spellStart"/>
      <w:r w:rsidRPr="007816B7">
        <w:t>αρ</w:t>
      </w:r>
      <w:proofErr w:type="spellEnd"/>
      <w:r w:rsidRPr="007816B7">
        <w:t xml:space="preserve">. </w:t>
      </w:r>
      <w:r w:rsidR="00C606EA">
        <w:rPr>
          <w:rFonts w:ascii="Tahoma" w:eastAsia="Times New Roman" w:hAnsi="Tahoma" w:cs="Tahoma"/>
          <w:sz w:val="20"/>
          <w:szCs w:val="20"/>
          <w:lang w:eastAsia="el-GR"/>
        </w:rPr>
        <w:t>Α1981</w:t>
      </w:r>
      <w:r w:rsidR="00C606EA" w:rsidRPr="008B7C25">
        <w:rPr>
          <w:rFonts w:ascii="Tahoma" w:eastAsia="Times New Roman" w:hAnsi="Tahoma" w:cs="Tahoma"/>
          <w:sz w:val="20"/>
          <w:szCs w:val="20"/>
          <w:lang w:eastAsia="el-GR"/>
        </w:rPr>
        <w:t>/0</w:t>
      </w:r>
      <w:r w:rsidR="00C606EA">
        <w:rPr>
          <w:rFonts w:ascii="Tahoma" w:eastAsia="Times New Roman" w:hAnsi="Tahoma" w:cs="Tahoma"/>
          <w:sz w:val="20"/>
          <w:szCs w:val="20"/>
          <w:lang w:eastAsia="el-GR"/>
        </w:rPr>
        <w:t>6</w:t>
      </w:r>
      <w:r w:rsidR="00C606EA" w:rsidRPr="008B7C25">
        <w:rPr>
          <w:rFonts w:ascii="Tahoma" w:eastAsia="Times New Roman" w:hAnsi="Tahoma" w:cs="Tahoma"/>
          <w:sz w:val="20"/>
          <w:szCs w:val="20"/>
          <w:lang w:eastAsia="el-GR"/>
        </w:rPr>
        <w:t>-0</w:t>
      </w:r>
      <w:r w:rsidR="00C606EA">
        <w:rPr>
          <w:rFonts w:ascii="Tahoma" w:eastAsia="Times New Roman" w:hAnsi="Tahoma" w:cs="Tahoma"/>
          <w:sz w:val="20"/>
          <w:szCs w:val="20"/>
          <w:lang w:eastAsia="el-GR"/>
        </w:rPr>
        <w:t>7</w:t>
      </w:r>
      <w:r w:rsidR="00C606EA" w:rsidRPr="008B7C25">
        <w:rPr>
          <w:rFonts w:ascii="Tahoma" w:eastAsia="Times New Roman" w:hAnsi="Tahoma" w:cs="Tahoma"/>
          <w:sz w:val="20"/>
          <w:szCs w:val="20"/>
          <w:lang w:eastAsia="el-GR"/>
        </w:rPr>
        <w:t>-202</w:t>
      </w:r>
      <w:r w:rsidR="00C606EA">
        <w:rPr>
          <w:rFonts w:ascii="Tahoma" w:eastAsia="Times New Roman" w:hAnsi="Tahoma" w:cs="Tahoma"/>
          <w:sz w:val="20"/>
          <w:szCs w:val="20"/>
          <w:lang w:eastAsia="el-GR"/>
        </w:rPr>
        <w:t>3</w:t>
      </w:r>
      <w:r w:rsidR="00C606EA" w:rsidRPr="008B7C25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1A494C" w:rsidRPr="007816B7">
        <w:t xml:space="preserve">(ΑΔΑ: </w:t>
      </w:r>
      <w:r w:rsidR="00C606EA">
        <w:rPr>
          <w:rFonts w:ascii="Tahoma" w:eastAsia="Times New Roman" w:hAnsi="Tahoma" w:cs="Tahoma"/>
          <w:sz w:val="20"/>
          <w:szCs w:val="20"/>
          <w:lang w:eastAsia="el-GR"/>
        </w:rPr>
        <w:t>9ΧΠ446ΝΠΙΘ-ΝΙΛ</w:t>
      </w:r>
      <w:r w:rsidR="001A494C" w:rsidRPr="007816B7">
        <w:t xml:space="preserve">) </w:t>
      </w:r>
      <w:r w:rsidRPr="007816B7">
        <w:t xml:space="preserve"> έγγραφο της Γενικής Γραμματείας Πολιτικής Προστασίας εγκρίθηκε το </w:t>
      </w:r>
      <w:r w:rsidRPr="00831DBF">
        <w:rPr>
          <w:b/>
          <w:bCs/>
        </w:rPr>
        <w:t>ειδικό ΣΑΤΑΜΕ</w:t>
      </w:r>
      <w:r w:rsidRPr="007816B7">
        <w:t xml:space="preserve"> για την </w:t>
      </w:r>
      <w:r w:rsidR="00E83BF9">
        <w:t xml:space="preserve">εν λόγω </w:t>
      </w:r>
      <w:r w:rsidRPr="007816B7">
        <w:t xml:space="preserve">εγκατάσταση </w:t>
      </w:r>
      <w:r w:rsidR="001A494C">
        <w:t xml:space="preserve">ΑΝΩΤΕΡΗΣ ΒΑΘΜΙΔΑΣ </w:t>
      </w:r>
      <w:r w:rsidRPr="007816B7">
        <w:t>που εμπίπτει στην Οδηγία 2012/18/ΕΕ (SEVESO ΙΙΙ)</w:t>
      </w:r>
      <w:r w:rsidR="001A494C">
        <w:t>.</w:t>
      </w:r>
      <w:r w:rsidR="00A23925" w:rsidRPr="00A23925">
        <w:t xml:space="preserve"> </w:t>
      </w:r>
    </w:p>
    <w:p w14:paraId="397736F9" w14:textId="3B0A1E20" w:rsidR="00CF7B1C" w:rsidRPr="00253C6E" w:rsidRDefault="00A23925" w:rsidP="00CF7B1C">
      <w:pPr>
        <w:pStyle w:val="a3"/>
        <w:ind w:left="354" w:right="490" w:firstLine="850"/>
        <w:jc w:val="both"/>
      </w:pPr>
      <w:r w:rsidRPr="00CF7B1C">
        <w:t>Στο πλαίσιο της Οδηγίας SEVESO III, ως «μεγάλο ατύχημα» θεωρείται συμβάν, όπως μεγάλη διαρροή, πυρκαγιά ή έκρηξη που προκύπτει από ανεξέλεγκτες εξελίξεις κατά τη λειτουργία της εγκατάστασης, το οποίο προκαλεί σοβαρούς κινδύνους, άμεσους ή απώτερους, για την ανθρώπινη υγεία ή το περιβάλλον, εντός ή εκτός της εγκατάστασης και σχετίζεται με μία ή περισσότερες επικίνδυνες ουσίες.</w:t>
      </w:r>
      <w:r w:rsidR="00CF7B1C" w:rsidRPr="00CF7B1C">
        <w:t xml:space="preserve"> </w:t>
      </w:r>
    </w:p>
    <w:p w14:paraId="26040909" w14:textId="77777777" w:rsidR="002E01BD" w:rsidRDefault="002E01BD" w:rsidP="00CF7B1C">
      <w:pPr>
        <w:pStyle w:val="11"/>
        <w:jc w:val="left"/>
        <w:rPr>
          <w:w w:val="90"/>
        </w:rPr>
      </w:pPr>
    </w:p>
    <w:p w14:paraId="2B46A49D" w14:textId="1FD0BD8A" w:rsidR="006501DA" w:rsidRDefault="00CA7B18">
      <w:pPr>
        <w:pStyle w:val="11"/>
      </w:pPr>
      <w:r>
        <w:rPr>
          <w:w w:val="90"/>
        </w:rPr>
        <w:t>ΠΕΡΙΛΗΨΗ</w:t>
      </w:r>
      <w:r>
        <w:rPr>
          <w:spacing w:val="48"/>
          <w:w w:val="90"/>
        </w:rPr>
        <w:t xml:space="preserve"> </w:t>
      </w:r>
      <w:r>
        <w:rPr>
          <w:w w:val="90"/>
        </w:rPr>
        <w:t>ΜΗ</w:t>
      </w:r>
      <w:r>
        <w:rPr>
          <w:spacing w:val="56"/>
          <w:w w:val="90"/>
        </w:rPr>
        <w:t xml:space="preserve"> </w:t>
      </w:r>
      <w:r>
        <w:rPr>
          <w:w w:val="90"/>
        </w:rPr>
        <w:t>ΤΕΧΝΙΚΟΥ</w:t>
      </w:r>
      <w:r>
        <w:rPr>
          <w:spacing w:val="50"/>
          <w:w w:val="90"/>
        </w:rPr>
        <w:t xml:space="preserve"> </w:t>
      </w:r>
      <w:r>
        <w:rPr>
          <w:w w:val="90"/>
        </w:rPr>
        <w:t>ΠΕΡΙΕΧΟΜΕΝΟΥ</w:t>
      </w:r>
    </w:p>
    <w:p w14:paraId="3BBD8495" w14:textId="2E7F15FA" w:rsidR="006501DA" w:rsidRDefault="00CA7B18">
      <w:pPr>
        <w:spacing w:before="25" w:after="44"/>
        <w:ind w:left="1084"/>
        <w:rPr>
          <w:b/>
          <w:i/>
          <w:sz w:val="24"/>
        </w:rPr>
      </w:pPr>
      <w:bookmarkStart w:id="1" w:name="Ταυτότητα_της_εγκατάστασης"/>
      <w:bookmarkEnd w:id="1"/>
      <w:r>
        <w:rPr>
          <w:b/>
          <w:i/>
          <w:sz w:val="24"/>
          <w:u w:val="single"/>
        </w:rPr>
        <w:t>Στοιχεία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Εγκατάσταση</w:t>
      </w:r>
      <w:r w:rsidR="002E6FD5">
        <w:rPr>
          <w:b/>
          <w:i/>
          <w:sz w:val="24"/>
          <w:u w:val="single"/>
        </w:rPr>
        <w:t>ς</w:t>
      </w:r>
      <w:r w:rsidR="00253C6E">
        <w:rPr>
          <w:b/>
          <w:i/>
          <w:sz w:val="24"/>
          <w:u w:val="single"/>
        </w:rPr>
        <w:t xml:space="preserve"> </w:t>
      </w:r>
    </w:p>
    <w:tbl>
      <w:tblPr>
        <w:tblStyle w:val="TableNormal"/>
        <w:tblW w:w="0" w:type="auto"/>
        <w:tblInd w:w="1035" w:type="dxa"/>
        <w:tblLayout w:type="fixed"/>
        <w:tblLook w:val="01E0" w:firstRow="1" w:lastRow="1" w:firstColumn="1" w:lastColumn="1" w:noHBand="0" w:noVBand="0"/>
      </w:tblPr>
      <w:tblGrid>
        <w:gridCol w:w="2655"/>
        <w:gridCol w:w="6091"/>
      </w:tblGrid>
      <w:tr w:rsidR="006501DA" w14:paraId="70D7FE1B" w14:textId="77777777" w:rsidTr="00063073">
        <w:trPr>
          <w:trHeight w:val="506"/>
        </w:trPr>
        <w:tc>
          <w:tcPr>
            <w:tcW w:w="2655" w:type="dxa"/>
          </w:tcPr>
          <w:p w14:paraId="70942530" w14:textId="6BDFD1AA" w:rsidR="006501DA" w:rsidRDefault="00C606EA">
            <w:pPr>
              <w:pStyle w:val="TableParagraph"/>
              <w:spacing w:line="225" w:lineRule="exact"/>
              <w:ind w:left="200"/>
            </w:pPr>
            <w:r>
              <w:t xml:space="preserve">Εμπορική </w:t>
            </w:r>
            <w:r w:rsidR="00CA7B18">
              <w:t>Επωνυμία</w:t>
            </w:r>
            <w:r w:rsidR="00CA7B18">
              <w:rPr>
                <w:spacing w:val="-4"/>
              </w:rPr>
              <w:t xml:space="preserve"> </w:t>
            </w:r>
            <w:r>
              <w:t>Εγκατάστασης</w:t>
            </w:r>
            <w:r w:rsidR="00CA7B18">
              <w:t>:</w:t>
            </w:r>
          </w:p>
        </w:tc>
        <w:tc>
          <w:tcPr>
            <w:tcW w:w="6091" w:type="dxa"/>
          </w:tcPr>
          <w:p w14:paraId="4D1319F7" w14:textId="3691A6B7" w:rsidR="006501DA" w:rsidRPr="00C606EA" w:rsidRDefault="00C606EA" w:rsidP="008B6223">
            <w:pPr>
              <w:pStyle w:val="TableParagraph"/>
              <w:spacing w:line="264" w:lineRule="exact"/>
              <w:ind w:left="134"/>
            </w:pPr>
            <w:r w:rsidRPr="00C606EA">
              <w:rPr>
                <w:rFonts w:ascii="Times New Roman"/>
              </w:rPr>
              <w:t>«</w:t>
            </w:r>
            <w:r w:rsidRPr="00C606EA">
              <w:t>ΑΔΑΜΑΣ ΠΥΡ. ΙΚΕ»</w:t>
            </w:r>
          </w:p>
        </w:tc>
      </w:tr>
      <w:tr w:rsidR="006501DA" w14:paraId="022547AF" w14:textId="77777777" w:rsidTr="00063073">
        <w:trPr>
          <w:trHeight w:val="271"/>
        </w:trPr>
        <w:tc>
          <w:tcPr>
            <w:tcW w:w="2655" w:type="dxa"/>
          </w:tcPr>
          <w:p w14:paraId="293C48CC" w14:textId="0F2A2E2F" w:rsidR="006501DA" w:rsidRDefault="00CA7B18">
            <w:pPr>
              <w:pStyle w:val="TableParagraph"/>
              <w:spacing w:line="251" w:lineRule="exact"/>
              <w:ind w:left="200"/>
            </w:pPr>
            <w:r>
              <w:t>Είδος</w:t>
            </w:r>
            <w:r>
              <w:rPr>
                <w:spacing w:val="-4"/>
              </w:rPr>
              <w:t xml:space="preserve"> </w:t>
            </w:r>
            <w:r w:rsidR="00C606EA">
              <w:t>επιχείρησης</w:t>
            </w:r>
          </w:p>
        </w:tc>
        <w:tc>
          <w:tcPr>
            <w:tcW w:w="6091" w:type="dxa"/>
          </w:tcPr>
          <w:p w14:paraId="08C17EAC" w14:textId="169B0424" w:rsidR="006501DA" w:rsidRPr="008B6223" w:rsidRDefault="00C606EA" w:rsidP="008B6223">
            <w:pPr>
              <w:widowControl/>
              <w:adjustRightInd w:val="0"/>
              <w:ind w:left="134"/>
              <w:rPr>
                <w:rFonts w:eastAsiaTheme="minorHAnsi"/>
              </w:rPr>
            </w:pPr>
            <w:r>
              <w:rPr>
                <w:rFonts w:ascii="Times New Roman"/>
              </w:rPr>
              <w:t>Αποθήκευση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και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εμπορία</w:t>
            </w:r>
            <w:r>
              <w:rPr>
                <w:rFonts w:ascii="Times New Roman"/>
              </w:rPr>
              <w:t xml:space="preserve"> </w:t>
            </w:r>
            <w:bookmarkStart w:id="2" w:name="_Hlk144110073"/>
            <w:r w:rsidR="008B6223">
              <w:rPr>
                <w:rFonts w:eastAsiaTheme="minorHAnsi"/>
              </w:rPr>
              <w:t>ειδών πυροτεχνίας και συναφών ειδών</w:t>
            </w:r>
            <w:bookmarkEnd w:id="2"/>
          </w:p>
        </w:tc>
      </w:tr>
      <w:tr w:rsidR="006501DA" w14:paraId="0E56075F" w14:textId="77777777" w:rsidTr="00063073">
        <w:trPr>
          <w:trHeight w:val="269"/>
        </w:trPr>
        <w:tc>
          <w:tcPr>
            <w:tcW w:w="2655" w:type="dxa"/>
          </w:tcPr>
          <w:p w14:paraId="6B3BA4B7" w14:textId="497B29AF" w:rsidR="006501DA" w:rsidRDefault="00C606EA">
            <w:pPr>
              <w:pStyle w:val="TableParagraph"/>
              <w:spacing w:line="249" w:lineRule="exact"/>
              <w:ind w:left="200"/>
            </w:pPr>
            <w:r>
              <w:t>Έδρα επιχείρησης</w:t>
            </w:r>
            <w:r w:rsidR="0061568E">
              <w:t xml:space="preserve"> &amp; Διεύθυνση εγκατάστασης:</w:t>
            </w:r>
          </w:p>
        </w:tc>
        <w:tc>
          <w:tcPr>
            <w:tcW w:w="6091" w:type="dxa"/>
          </w:tcPr>
          <w:p w14:paraId="6A2AFDC3" w14:textId="66143CA9" w:rsidR="006501DA" w:rsidRDefault="00C606EA" w:rsidP="008B6223">
            <w:pPr>
              <w:widowControl/>
              <w:adjustRightInd w:val="0"/>
              <w:ind w:left="134"/>
            </w:pPr>
            <w:r>
              <w:rPr>
                <w:rFonts w:eastAsiaTheme="minorHAnsi"/>
              </w:rPr>
              <w:t xml:space="preserve">Θέση Κατσικάς </w:t>
            </w:r>
            <w:proofErr w:type="spellStart"/>
            <w:r>
              <w:rPr>
                <w:rFonts w:eastAsiaTheme="minorHAnsi"/>
              </w:rPr>
              <w:t>Τυμπακίου</w:t>
            </w:r>
            <w:proofErr w:type="spellEnd"/>
            <w:r>
              <w:rPr>
                <w:rFonts w:eastAsiaTheme="minorHAnsi"/>
              </w:rPr>
              <w:t xml:space="preserve"> (εντός έκτασης </w:t>
            </w:r>
            <w:r w:rsidR="008B6223">
              <w:rPr>
                <w:rFonts w:eastAsiaTheme="minorHAnsi"/>
              </w:rPr>
              <w:t xml:space="preserve">της </w:t>
            </w:r>
            <w:r>
              <w:rPr>
                <w:rFonts w:eastAsiaTheme="minorHAnsi"/>
              </w:rPr>
              <w:t xml:space="preserve">Πολεμικής </w:t>
            </w:r>
            <w:r w:rsidR="008B6223">
              <w:rPr>
                <w:rFonts w:eastAsiaTheme="minorHAnsi"/>
              </w:rPr>
              <w:t xml:space="preserve"> Α</w:t>
            </w:r>
            <w:r>
              <w:rPr>
                <w:rFonts w:eastAsiaTheme="minorHAnsi"/>
              </w:rPr>
              <w:t>εροπορίας), Δήμου Φαιστού,</w:t>
            </w:r>
            <w:r w:rsidR="008B6223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Περιφερειακής Ενότητας Ηρακλείου</w:t>
            </w:r>
            <w:r w:rsidR="0061568E">
              <w:t>, ΚΡΗΤΗ</w:t>
            </w:r>
          </w:p>
        </w:tc>
      </w:tr>
      <w:tr w:rsidR="006501DA" w14:paraId="6565F5A1" w14:textId="77777777" w:rsidTr="00063073">
        <w:trPr>
          <w:trHeight w:val="268"/>
        </w:trPr>
        <w:tc>
          <w:tcPr>
            <w:tcW w:w="2655" w:type="dxa"/>
          </w:tcPr>
          <w:p w14:paraId="15657FB6" w14:textId="15D1BA48" w:rsidR="006501DA" w:rsidRDefault="00C606EA">
            <w:pPr>
              <w:pStyle w:val="TableParagraph"/>
              <w:spacing w:line="249" w:lineRule="exact"/>
              <w:ind w:left="200"/>
            </w:pPr>
            <w:r>
              <w:t>Τηλέφωνο έδρας</w:t>
            </w:r>
          </w:p>
        </w:tc>
        <w:tc>
          <w:tcPr>
            <w:tcW w:w="6091" w:type="dxa"/>
          </w:tcPr>
          <w:p w14:paraId="71E1256F" w14:textId="77D283EB" w:rsidR="006501DA" w:rsidRDefault="00C606EA" w:rsidP="008B6223">
            <w:pPr>
              <w:pStyle w:val="TableParagraph"/>
              <w:spacing w:line="249" w:lineRule="exact"/>
              <w:ind w:left="134"/>
            </w:pPr>
            <w:r w:rsidRPr="009343A3">
              <w:rPr>
                <w:rFonts w:ascii="Times New Roman"/>
              </w:rPr>
              <w:t>2810-36182</w:t>
            </w:r>
            <w:r>
              <w:rPr>
                <w:rFonts w:ascii="Times New Roman"/>
              </w:rPr>
              <w:t>2</w:t>
            </w:r>
          </w:p>
        </w:tc>
      </w:tr>
    </w:tbl>
    <w:p w14:paraId="0F4521A5" w14:textId="67E86B7A" w:rsidR="006501DA" w:rsidRDefault="00D1525C" w:rsidP="00D1525C">
      <w:pPr>
        <w:spacing w:after="40"/>
        <w:ind w:left="993"/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 </w:t>
      </w:r>
      <w:r w:rsidR="00884EE5">
        <w:rPr>
          <w:b/>
          <w:i/>
          <w:sz w:val="24"/>
          <w:u w:val="single"/>
        </w:rPr>
        <w:t>Στοιχεία υπευθύνου εγκατάστασης</w:t>
      </w:r>
      <w:r w:rsidR="0061568E">
        <w:rPr>
          <w:b/>
          <w:i/>
          <w:sz w:val="24"/>
          <w:u w:val="single"/>
        </w:rPr>
        <w:t xml:space="preserve"> &amp; Τεχνικού</w:t>
      </w:r>
      <w:r w:rsidR="0061568E">
        <w:rPr>
          <w:b/>
          <w:i/>
          <w:spacing w:val="-7"/>
          <w:sz w:val="24"/>
          <w:u w:val="single"/>
        </w:rPr>
        <w:t xml:space="preserve"> </w:t>
      </w:r>
      <w:r w:rsidR="0061568E">
        <w:rPr>
          <w:b/>
          <w:i/>
          <w:sz w:val="24"/>
          <w:u w:val="single"/>
        </w:rPr>
        <w:t>Ασφαλείας</w:t>
      </w:r>
    </w:p>
    <w:tbl>
      <w:tblPr>
        <w:tblStyle w:val="TableNormal"/>
        <w:tblW w:w="8746" w:type="dxa"/>
        <w:tblInd w:w="1035" w:type="dxa"/>
        <w:tblLayout w:type="fixed"/>
        <w:tblLook w:val="01E0" w:firstRow="1" w:lastRow="1" w:firstColumn="1" w:lastColumn="1" w:noHBand="0" w:noVBand="0"/>
      </w:tblPr>
      <w:tblGrid>
        <w:gridCol w:w="2392"/>
        <w:gridCol w:w="6354"/>
      </w:tblGrid>
      <w:tr w:rsidR="006501DA" w14:paraId="76AB4A9A" w14:textId="77777777" w:rsidTr="009D1F54">
        <w:trPr>
          <w:trHeight w:val="235"/>
        </w:trPr>
        <w:tc>
          <w:tcPr>
            <w:tcW w:w="2392" w:type="dxa"/>
          </w:tcPr>
          <w:p w14:paraId="0939FF29" w14:textId="77777777" w:rsidR="006501DA" w:rsidRDefault="00CA7B18">
            <w:pPr>
              <w:pStyle w:val="TableParagraph"/>
              <w:spacing w:line="225" w:lineRule="exact"/>
              <w:ind w:left="200"/>
            </w:pPr>
            <w:r>
              <w:t>Ονοματεπώνυμο:</w:t>
            </w:r>
          </w:p>
          <w:p w14:paraId="6A288324" w14:textId="46D253B4" w:rsidR="00884EE5" w:rsidRDefault="00884EE5">
            <w:pPr>
              <w:pStyle w:val="TableParagraph"/>
              <w:spacing w:line="225" w:lineRule="exact"/>
              <w:ind w:left="200"/>
            </w:pPr>
            <w:r>
              <w:t>Ιδιότητα:</w:t>
            </w:r>
          </w:p>
        </w:tc>
        <w:tc>
          <w:tcPr>
            <w:tcW w:w="6354" w:type="dxa"/>
          </w:tcPr>
          <w:p w14:paraId="3455B966" w14:textId="77777777" w:rsidR="006501DA" w:rsidRDefault="00884EE5" w:rsidP="00D930BC">
            <w:pPr>
              <w:pStyle w:val="TableParagraph"/>
              <w:spacing w:line="215" w:lineRule="exact"/>
              <w:ind w:left="612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Νταντούδης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Χρήστος</w:t>
            </w:r>
          </w:p>
          <w:p w14:paraId="29BA99CE" w14:textId="6D01A6E5" w:rsidR="00884EE5" w:rsidRDefault="00884EE5" w:rsidP="00D930BC">
            <w:pPr>
              <w:pStyle w:val="TableParagraph"/>
              <w:spacing w:line="215" w:lineRule="exact"/>
              <w:ind w:left="612"/>
            </w:pPr>
            <w:r>
              <w:t>Υπεύθυνος εγκατάστασης</w:t>
            </w:r>
          </w:p>
        </w:tc>
      </w:tr>
      <w:tr w:rsidR="006501DA" w14:paraId="1695EF8A" w14:textId="77777777" w:rsidTr="009D1F54">
        <w:trPr>
          <w:trHeight w:val="259"/>
        </w:trPr>
        <w:tc>
          <w:tcPr>
            <w:tcW w:w="2392" w:type="dxa"/>
          </w:tcPr>
          <w:p w14:paraId="2459DCD3" w14:textId="77777777" w:rsidR="006501DA" w:rsidRDefault="00CA7B18">
            <w:pPr>
              <w:pStyle w:val="TableParagraph"/>
              <w:spacing w:line="239" w:lineRule="exact"/>
              <w:ind w:left="200"/>
            </w:pPr>
            <w:r>
              <w:t>Τηλέφωνο</w:t>
            </w:r>
          </w:p>
        </w:tc>
        <w:tc>
          <w:tcPr>
            <w:tcW w:w="6354" w:type="dxa"/>
          </w:tcPr>
          <w:p w14:paraId="26794D44" w14:textId="4F482470" w:rsidR="006501DA" w:rsidRDefault="00884EE5">
            <w:pPr>
              <w:pStyle w:val="TableParagraph"/>
              <w:spacing w:line="239" w:lineRule="exact"/>
              <w:ind w:left="612"/>
            </w:pPr>
            <w:r w:rsidRPr="009343A3">
              <w:rPr>
                <w:rFonts w:ascii="Times New Roman"/>
              </w:rPr>
              <w:t>2810-36182</w:t>
            </w:r>
            <w:r>
              <w:rPr>
                <w:rFonts w:ascii="Times New Roman"/>
              </w:rPr>
              <w:t>2</w:t>
            </w:r>
          </w:p>
        </w:tc>
      </w:tr>
      <w:tr w:rsidR="006501DA" w14:paraId="78D93F2C" w14:textId="77777777" w:rsidTr="009D1F54">
        <w:trPr>
          <w:trHeight w:val="268"/>
        </w:trPr>
        <w:tc>
          <w:tcPr>
            <w:tcW w:w="2392" w:type="dxa"/>
          </w:tcPr>
          <w:p w14:paraId="11133FB3" w14:textId="77777777" w:rsidR="006501DA" w:rsidRDefault="00CA7B18">
            <w:pPr>
              <w:pStyle w:val="TableParagraph"/>
              <w:spacing w:line="249" w:lineRule="exact"/>
              <w:ind w:left="200"/>
            </w:pPr>
            <w:proofErr w:type="spellStart"/>
            <w:r>
              <w:t>Fax</w:t>
            </w:r>
            <w:proofErr w:type="spellEnd"/>
          </w:p>
        </w:tc>
        <w:tc>
          <w:tcPr>
            <w:tcW w:w="6354" w:type="dxa"/>
          </w:tcPr>
          <w:p w14:paraId="2A7F8335" w14:textId="06F4950F" w:rsidR="006501DA" w:rsidRDefault="00267554">
            <w:pPr>
              <w:pStyle w:val="TableParagraph"/>
              <w:spacing w:line="249" w:lineRule="exact"/>
              <w:ind w:left="612"/>
            </w:pPr>
            <w:r w:rsidRPr="009343A3">
              <w:rPr>
                <w:rFonts w:ascii="Times New Roman"/>
              </w:rPr>
              <w:t>2810-36182</w:t>
            </w:r>
            <w:r>
              <w:rPr>
                <w:rFonts w:ascii="Times New Roman"/>
              </w:rPr>
              <w:t>2</w:t>
            </w:r>
          </w:p>
        </w:tc>
      </w:tr>
      <w:tr w:rsidR="006501DA" w14:paraId="7FECE793" w14:textId="77777777" w:rsidTr="009D1F54">
        <w:trPr>
          <w:trHeight w:val="244"/>
        </w:trPr>
        <w:tc>
          <w:tcPr>
            <w:tcW w:w="2392" w:type="dxa"/>
          </w:tcPr>
          <w:p w14:paraId="415980A8" w14:textId="77777777" w:rsidR="006501DA" w:rsidRDefault="00CA7B18">
            <w:pPr>
              <w:pStyle w:val="TableParagraph"/>
              <w:spacing w:line="225" w:lineRule="exact"/>
              <w:ind w:left="20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6354" w:type="dxa"/>
          </w:tcPr>
          <w:p w14:paraId="3C13EE57" w14:textId="1D8818D8" w:rsidR="006501DA" w:rsidRDefault="001B4FA0">
            <w:pPr>
              <w:pStyle w:val="TableParagraph"/>
              <w:spacing w:line="225" w:lineRule="exact"/>
              <w:ind w:left="612"/>
              <w:rPr>
                <w:rFonts w:ascii="Times New Roman"/>
                <w:lang w:val="en-US"/>
              </w:rPr>
            </w:pPr>
            <w:hyperlink r:id="rId8" w:history="1">
              <w:r w:rsidR="00267554" w:rsidRPr="00F3762C">
                <w:rPr>
                  <w:rStyle w:val="-"/>
                  <w:rFonts w:ascii="Times New Roman"/>
                  <w:lang w:val="en-US"/>
                </w:rPr>
                <w:t>info@artfireworks.gr</w:t>
              </w:r>
            </w:hyperlink>
          </w:p>
          <w:p w14:paraId="21A988AC" w14:textId="2AE63A31" w:rsidR="00267554" w:rsidRDefault="00267554">
            <w:pPr>
              <w:pStyle w:val="TableParagraph"/>
              <w:spacing w:line="225" w:lineRule="exact"/>
              <w:ind w:left="612"/>
            </w:pPr>
          </w:p>
        </w:tc>
      </w:tr>
      <w:tr w:rsidR="00E53BEE" w14:paraId="2466CA3F" w14:textId="77777777" w:rsidTr="009D1F54">
        <w:trPr>
          <w:trHeight w:val="244"/>
        </w:trPr>
        <w:tc>
          <w:tcPr>
            <w:tcW w:w="2392" w:type="dxa"/>
          </w:tcPr>
          <w:p w14:paraId="3974E639" w14:textId="77777777" w:rsidR="00E53BEE" w:rsidRDefault="00E53BEE">
            <w:pPr>
              <w:pStyle w:val="TableParagraph"/>
              <w:spacing w:line="225" w:lineRule="exact"/>
              <w:ind w:left="200"/>
            </w:pPr>
          </w:p>
        </w:tc>
        <w:tc>
          <w:tcPr>
            <w:tcW w:w="6354" w:type="dxa"/>
          </w:tcPr>
          <w:p w14:paraId="54B0F9AA" w14:textId="77777777" w:rsidR="00E53BEE" w:rsidRDefault="00E53BEE">
            <w:pPr>
              <w:pStyle w:val="TableParagraph"/>
              <w:spacing w:line="225" w:lineRule="exact"/>
              <w:ind w:left="612"/>
            </w:pPr>
          </w:p>
        </w:tc>
      </w:tr>
      <w:tr w:rsidR="00E53BEE" w14:paraId="6981C555" w14:textId="77777777" w:rsidTr="009D1F54">
        <w:tblPrEx>
          <w:tblLook w:val="04A0" w:firstRow="1" w:lastRow="0" w:firstColumn="1" w:lastColumn="0" w:noHBand="0" w:noVBand="1"/>
        </w:tblPrEx>
        <w:trPr>
          <w:trHeight w:val="1355"/>
        </w:trPr>
        <w:tc>
          <w:tcPr>
            <w:tcW w:w="2392" w:type="dxa"/>
          </w:tcPr>
          <w:p w14:paraId="72E5D55E" w14:textId="29278D2A" w:rsidR="00E53BEE" w:rsidRDefault="00E53BEE">
            <w:pPr>
              <w:spacing w:after="34"/>
              <w:rPr>
                <w:b/>
                <w:i/>
                <w:u w:val="single"/>
                <w:lang w:val="en-US"/>
              </w:rPr>
            </w:pPr>
            <w:bookmarkStart w:id="3" w:name="Οι_παράγοντες_που_ενδέχεται_να_προκαλέσο"/>
            <w:bookmarkEnd w:id="3"/>
            <w:proofErr w:type="spellStart"/>
            <w:r>
              <w:rPr>
                <w:b/>
                <w:i/>
                <w:u w:val="single"/>
                <w:lang w:val="en-US"/>
              </w:rPr>
              <w:t>Αδειοδοτούσ</w:t>
            </w:r>
            <w:proofErr w:type="spellEnd"/>
            <w:r>
              <w:rPr>
                <w:b/>
                <w:i/>
                <w:u w:val="single"/>
                <w:lang w:val="en-US"/>
              </w:rPr>
              <w:t xml:space="preserve">α </w:t>
            </w:r>
            <w:proofErr w:type="spellStart"/>
            <w:r>
              <w:rPr>
                <w:b/>
                <w:i/>
                <w:u w:val="single"/>
                <w:lang w:val="en-US"/>
              </w:rPr>
              <w:t>Αρχή</w:t>
            </w:r>
            <w:proofErr w:type="spellEnd"/>
            <w:r>
              <w:rPr>
                <w:b/>
                <w:i/>
                <w:u w:val="single"/>
              </w:rPr>
              <w:t>:</w:t>
            </w:r>
            <w:r>
              <w:rPr>
                <w:b/>
                <w:i/>
                <w:u w:val="single"/>
                <w:lang w:val="en-US"/>
              </w:rPr>
              <w:t xml:space="preserve"> </w:t>
            </w:r>
          </w:p>
          <w:p w14:paraId="76376883" w14:textId="77777777" w:rsidR="00E53BEE" w:rsidRDefault="00E53BEE">
            <w:pPr>
              <w:pStyle w:val="TableParagraph"/>
              <w:spacing w:line="249" w:lineRule="exact"/>
              <w:ind w:left="344"/>
              <w:rPr>
                <w:lang w:val="en-US"/>
              </w:rPr>
            </w:pPr>
          </w:p>
          <w:p w14:paraId="46B1630C" w14:textId="77777777" w:rsidR="00E53BEE" w:rsidRDefault="00E53BEE">
            <w:pPr>
              <w:pStyle w:val="TableParagraph"/>
              <w:spacing w:line="249" w:lineRule="exact"/>
              <w:ind w:left="344"/>
              <w:rPr>
                <w:lang w:val="en-US"/>
              </w:rPr>
            </w:pPr>
          </w:p>
        </w:tc>
        <w:tc>
          <w:tcPr>
            <w:tcW w:w="6354" w:type="dxa"/>
            <w:hideMark/>
          </w:tcPr>
          <w:p w14:paraId="1E31AE22" w14:textId="77777777" w:rsidR="00E53BEE" w:rsidRPr="00E53BEE" w:rsidRDefault="00E53BEE">
            <w:pPr>
              <w:pStyle w:val="TableParagraph"/>
              <w:spacing w:line="249" w:lineRule="exact"/>
              <w:ind w:hanging="302"/>
            </w:pPr>
            <w:r w:rsidRPr="00E53BEE">
              <w:t xml:space="preserve">       Περιφέρεια Κρήτης  </w:t>
            </w:r>
          </w:p>
          <w:p w14:paraId="72F221F8" w14:textId="77777777" w:rsidR="00E53BEE" w:rsidRPr="00E53BEE" w:rsidRDefault="00E53BEE">
            <w:pPr>
              <w:pStyle w:val="TableParagraph"/>
              <w:spacing w:line="249" w:lineRule="exact"/>
              <w:ind w:left="344" w:hanging="302"/>
            </w:pPr>
            <w:r w:rsidRPr="00E53BEE">
              <w:t>Γενική Διεύθυνση Βιώσιμης Ανάπτυξης</w:t>
            </w:r>
          </w:p>
          <w:p w14:paraId="4E0E1C35" w14:textId="77777777" w:rsidR="00E53BEE" w:rsidRPr="00E53BEE" w:rsidRDefault="00E53BEE">
            <w:pPr>
              <w:pStyle w:val="TableParagraph"/>
              <w:spacing w:line="249" w:lineRule="exact"/>
              <w:ind w:left="344" w:hanging="302"/>
            </w:pPr>
            <w:r w:rsidRPr="00E53BEE">
              <w:t>Δ/</w:t>
            </w:r>
            <w:proofErr w:type="spellStart"/>
            <w:r w:rsidRPr="00E53BEE">
              <w:t>νση</w:t>
            </w:r>
            <w:proofErr w:type="spellEnd"/>
            <w:r w:rsidRPr="00E53BEE">
              <w:t xml:space="preserve"> Ανάπτυξης Π.Ε. Ηρακλείου</w:t>
            </w:r>
          </w:p>
          <w:p w14:paraId="16A89027" w14:textId="5BAEE469" w:rsidR="009D1F54" w:rsidRPr="001B4FA0" w:rsidRDefault="00E53BEE" w:rsidP="009D1F54">
            <w:pPr>
              <w:pStyle w:val="TableParagraph"/>
              <w:spacing w:line="249" w:lineRule="exact"/>
              <w:ind w:left="344" w:hanging="302"/>
            </w:pPr>
            <w:r w:rsidRPr="00E53BEE">
              <w:t xml:space="preserve">Αρχιεπισκόπου Μακαρίου 17, 71202, Ηράκλειο </w:t>
            </w:r>
            <w:proofErr w:type="spellStart"/>
            <w:r w:rsidRPr="00E53BEE">
              <w:t>Τηλ</w:t>
            </w:r>
            <w:proofErr w:type="spellEnd"/>
            <w:r w:rsidRPr="00E53BEE">
              <w:t>.: 281341041</w:t>
            </w:r>
            <w:r w:rsidR="009D1F54" w:rsidRPr="001B4FA0">
              <w:t>2</w:t>
            </w:r>
          </w:p>
          <w:p w14:paraId="64F36BF7" w14:textId="1BDD5F95" w:rsidR="00E53BEE" w:rsidRPr="00E53BEE" w:rsidRDefault="00E53BEE" w:rsidP="009D1F54">
            <w:pPr>
              <w:pStyle w:val="TableParagraph"/>
              <w:spacing w:line="249" w:lineRule="exact"/>
              <w:ind w:left="344" w:hanging="302"/>
            </w:pPr>
            <w:r>
              <w:rPr>
                <w:lang w:val="en-US"/>
              </w:rPr>
              <w:t>e</w:t>
            </w:r>
            <w:r w:rsidRPr="00E53BEE">
              <w:t>-</w:t>
            </w:r>
            <w:r>
              <w:rPr>
                <w:lang w:val="en-US"/>
              </w:rPr>
              <w:t>mail</w:t>
            </w:r>
            <w:r w:rsidRPr="00E53BEE">
              <w:t xml:space="preserve">: </w:t>
            </w:r>
            <w:hyperlink r:id="rId9" w:history="1">
              <w:r>
                <w:rPr>
                  <w:rStyle w:val="-"/>
                  <w:lang w:val="en-US"/>
                </w:rPr>
                <w:t>anaptixi</w:t>
              </w:r>
              <w:r w:rsidRPr="00E53BEE">
                <w:rPr>
                  <w:rStyle w:val="-"/>
                </w:rPr>
                <w:t>@</w:t>
              </w:r>
              <w:r>
                <w:rPr>
                  <w:rStyle w:val="-"/>
                  <w:lang w:val="en-US"/>
                </w:rPr>
                <w:t>crete</w:t>
              </w:r>
              <w:r w:rsidRPr="00E53BEE"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gov</w:t>
              </w:r>
              <w:r w:rsidRPr="00E53BEE"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gr</w:t>
              </w:r>
            </w:hyperlink>
            <w:r w:rsidRPr="00E53BEE">
              <w:t xml:space="preserve"> </w:t>
            </w:r>
          </w:p>
        </w:tc>
      </w:tr>
      <w:tr w:rsidR="00E53BEE" w14:paraId="41D39224" w14:textId="77777777" w:rsidTr="009D1F54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746" w:type="dxa"/>
            <w:gridSpan w:val="2"/>
          </w:tcPr>
          <w:p w14:paraId="1D50DA4E" w14:textId="0B3F30C4" w:rsidR="00E53BEE" w:rsidRPr="00E53BEE" w:rsidRDefault="00E53BEE" w:rsidP="00E53BEE">
            <w:pPr>
              <w:spacing w:after="34"/>
            </w:pPr>
            <w:proofErr w:type="spellStart"/>
            <w:r>
              <w:rPr>
                <w:b/>
                <w:i/>
                <w:sz w:val="24"/>
                <w:u w:val="single"/>
                <w:lang w:val="en-US"/>
              </w:rPr>
              <w:t>Ημερομηνί</w:t>
            </w:r>
            <w:proofErr w:type="spellEnd"/>
            <w:r>
              <w:rPr>
                <w:b/>
                <w:i/>
                <w:sz w:val="24"/>
                <w:u w:val="single"/>
                <w:lang w:val="en-US"/>
              </w:rPr>
              <w:t xml:space="preserve">α </w:t>
            </w:r>
            <w:proofErr w:type="spellStart"/>
            <w:r>
              <w:rPr>
                <w:b/>
                <w:i/>
                <w:sz w:val="24"/>
                <w:u w:val="single"/>
                <w:lang w:val="en-US"/>
              </w:rPr>
              <w:t>τελευτ</w:t>
            </w:r>
            <w:proofErr w:type="spellEnd"/>
            <w:r>
              <w:rPr>
                <w:b/>
                <w:i/>
                <w:sz w:val="24"/>
                <w:u w:val="single"/>
                <w:lang w:val="en-US"/>
              </w:rPr>
              <w:t>αίας επ</w:t>
            </w:r>
            <w:proofErr w:type="spellStart"/>
            <w:r>
              <w:rPr>
                <w:b/>
                <w:i/>
                <w:sz w:val="24"/>
                <w:u w:val="single"/>
                <w:lang w:val="en-US"/>
              </w:rPr>
              <w:t>ιθεώρησης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20-07-2022</w:t>
            </w:r>
          </w:p>
        </w:tc>
      </w:tr>
    </w:tbl>
    <w:p w14:paraId="15FCC2CA" w14:textId="77777777" w:rsidR="000C412D" w:rsidRDefault="000C412D" w:rsidP="00150180">
      <w:pPr>
        <w:spacing w:before="1"/>
        <w:ind w:left="1204" w:hanging="920"/>
        <w:jc w:val="center"/>
        <w:rPr>
          <w:b/>
          <w:sz w:val="24"/>
        </w:rPr>
      </w:pPr>
    </w:p>
    <w:p w14:paraId="247FDEA6" w14:textId="1D9FC95D" w:rsidR="006501DA" w:rsidRDefault="00150180" w:rsidP="00150180">
      <w:pPr>
        <w:spacing w:before="1"/>
        <w:ind w:left="1204" w:hanging="920"/>
        <w:jc w:val="center"/>
        <w:rPr>
          <w:b/>
          <w:sz w:val="24"/>
        </w:rPr>
      </w:pPr>
      <w:r>
        <w:rPr>
          <w:b/>
          <w:sz w:val="24"/>
        </w:rPr>
        <w:t>ΔΡΑΣΤΗΡΙΟΤΗΤΕΣ ΕΓΚΑΤ</w:t>
      </w:r>
      <w:r w:rsidR="001D1C1F">
        <w:rPr>
          <w:b/>
          <w:sz w:val="24"/>
        </w:rPr>
        <w:t>Α</w:t>
      </w:r>
      <w:r>
        <w:rPr>
          <w:b/>
          <w:sz w:val="24"/>
        </w:rPr>
        <w:t>ΣΤΑΣΗΣ</w:t>
      </w:r>
    </w:p>
    <w:p w14:paraId="6D5341B8" w14:textId="77777777" w:rsidR="008B6223" w:rsidRDefault="00150180" w:rsidP="000C412D">
      <w:pPr>
        <w:tabs>
          <w:tab w:val="left" w:pos="9781"/>
        </w:tabs>
        <w:spacing w:before="1"/>
        <w:ind w:left="284" w:right="131" w:firstLine="436"/>
        <w:jc w:val="both"/>
      </w:pPr>
      <w:r w:rsidRPr="00150180">
        <w:t>Η εγκατάσταση «ΑΔΑΜΑΣ ΠΥΡ ΙΚΕ » καλύπτει έκταση επιφάνειας 6</w:t>
      </w:r>
      <w:r w:rsidR="008B6223">
        <w:t>.</w:t>
      </w:r>
      <w:r w:rsidRPr="00150180">
        <w:t>752,77</w:t>
      </w:r>
      <w:r w:rsidR="008B6223">
        <w:t xml:space="preserve"> </w:t>
      </w:r>
      <w:r w:rsidRPr="00150180">
        <w:t>m</w:t>
      </w:r>
      <w:r w:rsidRPr="008B6223">
        <w:rPr>
          <w:vertAlign w:val="superscript"/>
        </w:rPr>
        <w:t>2</w:t>
      </w:r>
      <w:r w:rsidRPr="00150180">
        <w:t xml:space="preserve"> και βρίσκεται εντός των ορίων των εγκαταστάσεων της Πολεμικής Αεροπορίας στην περιοχή του </w:t>
      </w:r>
      <w:proofErr w:type="spellStart"/>
      <w:r w:rsidRPr="00150180">
        <w:t>Τυμπακίου</w:t>
      </w:r>
      <w:proofErr w:type="spellEnd"/>
      <w:r w:rsidRPr="00150180">
        <w:t xml:space="preserve">. </w:t>
      </w:r>
    </w:p>
    <w:p w14:paraId="118F00A7" w14:textId="628DE385" w:rsidR="00150180" w:rsidRDefault="00150180" w:rsidP="000C412D">
      <w:pPr>
        <w:tabs>
          <w:tab w:val="left" w:pos="9781"/>
        </w:tabs>
        <w:spacing w:before="1"/>
        <w:ind w:left="284" w:right="131" w:firstLine="436"/>
        <w:jc w:val="both"/>
      </w:pPr>
      <w:r w:rsidRPr="00150180">
        <w:t xml:space="preserve">Κύρια δραστηριότητα της εγκατάστασης είναι </w:t>
      </w:r>
      <w:r w:rsidR="008B6223">
        <w:t xml:space="preserve">η </w:t>
      </w:r>
      <w:r w:rsidRPr="00150180">
        <w:t xml:space="preserve">αποθήκευση </w:t>
      </w:r>
      <w:r w:rsidR="008B6223">
        <w:t xml:space="preserve">και εμπορία </w:t>
      </w:r>
      <w:r w:rsidR="008B6223" w:rsidRPr="008B6223">
        <w:t>ειδών πυροτεχνίας και συναφών ειδών</w:t>
      </w:r>
      <w:r w:rsidR="008B6223">
        <w:t>.</w:t>
      </w:r>
      <w:r w:rsidRPr="00150180">
        <w:t xml:space="preserve"> </w:t>
      </w:r>
      <w:r w:rsidR="008B6223">
        <w:t>Ο</w:t>
      </w:r>
      <w:r w:rsidRPr="00150180">
        <w:t>ι αποθήκες είναι σχεδιασμένες ώστε να ανταποκρίνονται στις προδιαγραφές για αυτή τη χρήση και υποστηρίζονται από σύστημα φύλαξης και παρακολούθηση</w:t>
      </w:r>
      <w:r w:rsidR="008B6223">
        <w:t>ς</w:t>
      </w:r>
      <w:r w:rsidRPr="00150180">
        <w:t xml:space="preserve"> σε 24ωρη βάση. Πρόσβαση σε αυτή έχει μονό το εξουσιοδοτημένο από την επιχείρηση προσωπικό.</w:t>
      </w:r>
    </w:p>
    <w:p w14:paraId="3F56FD66" w14:textId="77777777" w:rsidR="001D1C1F" w:rsidRDefault="001D1C1F" w:rsidP="00150180">
      <w:pPr>
        <w:spacing w:before="1"/>
        <w:ind w:left="284" w:right="414" w:firstLine="436"/>
        <w:jc w:val="both"/>
      </w:pPr>
    </w:p>
    <w:p w14:paraId="59B4146A" w14:textId="1701B410" w:rsidR="001D1C1F" w:rsidRDefault="001D1C1F" w:rsidP="001D1C1F">
      <w:pPr>
        <w:spacing w:before="1"/>
        <w:ind w:left="284" w:right="414" w:firstLine="436"/>
        <w:jc w:val="center"/>
        <w:rPr>
          <w:b/>
          <w:sz w:val="24"/>
        </w:rPr>
      </w:pPr>
      <w:r w:rsidRPr="001D1C1F">
        <w:rPr>
          <w:b/>
          <w:sz w:val="24"/>
        </w:rPr>
        <w:t xml:space="preserve">ΓΕΝΙΚΗ ΟΝΟΜΑΣΙΑ ΤΩΝ ΕΠΙΚΙΝΔΥΝΩΝ ΟΥΣΙΩΝ ΚΑΙ ΠΕΡΙΓΡΑΦΗ ΤΗΣ ΕΠΙΚΙΝΔΥΝΟΤΗΤΑΣ </w:t>
      </w:r>
    </w:p>
    <w:p w14:paraId="7CF9F6EB" w14:textId="58F3B03E" w:rsidR="00C244B8" w:rsidRDefault="001D1C1F" w:rsidP="00C244B8">
      <w:pPr>
        <w:spacing w:before="1"/>
        <w:ind w:left="142"/>
        <w:jc w:val="both"/>
      </w:pPr>
      <w:r w:rsidRPr="001D1C1F">
        <w:t xml:space="preserve">Στο Πίνακα που ακολουθεί παρουσιάζονται οι ουσίες που αποθηκεύονται στην εγκατάσταση και θεωρούνται επικίνδυνες σύμφωνα με την Οδηγία SEVESO III (ΚΥΑ 172058/2016), </w:t>
      </w:r>
      <w:bookmarkStart w:id="4" w:name="_Toc138081497"/>
      <w:r w:rsidR="00C244B8">
        <w:t>τα πιθανά</w:t>
      </w:r>
      <w:r w:rsidR="00C244B8" w:rsidRPr="00E62B7F">
        <w:t xml:space="preserve"> προϊόντα καύσης </w:t>
      </w:r>
      <w:r w:rsidR="00C244B8">
        <w:t>πυροτεχνημάτων</w:t>
      </w:r>
      <w:bookmarkEnd w:id="4"/>
      <w:r w:rsidR="00C244B8" w:rsidRPr="00C244B8">
        <w:t>,</w:t>
      </w:r>
      <w:r w:rsidR="00C244B8">
        <w:t xml:space="preserve"> </w:t>
      </w:r>
      <w:r w:rsidRPr="001D1C1F">
        <w:t xml:space="preserve">καθώς </w:t>
      </w:r>
      <w:r w:rsidR="00C244B8">
        <w:t xml:space="preserve">και η επικινδυνότητα αυτών. </w:t>
      </w:r>
    </w:p>
    <w:p w14:paraId="348AACC1" w14:textId="1C828E75" w:rsidR="00150180" w:rsidRDefault="00150180" w:rsidP="00C244B8">
      <w:pPr>
        <w:spacing w:before="1"/>
        <w:ind w:left="284" w:right="414" w:firstLine="436"/>
        <w:jc w:val="both"/>
      </w:pP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5670"/>
        <w:gridCol w:w="3827"/>
      </w:tblGrid>
      <w:tr w:rsidR="006F2738" w14:paraId="1EBEB2E1" w14:textId="77777777" w:rsidTr="00C244B8">
        <w:tc>
          <w:tcPr>
            <w:tcW w:w="675" w:type="dxa"/>
            <w:vAlign w:val="center"/>
          </w:tcPr>
          <w:p w14:paraId="7FD6DFFE" w14:textId="3A5E4C1B" w:rsidR="006F2738" w:rsidRPr="001D1C1F" w:rsidRDefault="006F2738" w:rsidP="00C244B8">
            <w:pPr>
              <w:spacing w:before="1"/>
              <w:jc w:val="center"/>
              <w:rPr>
                <w:b/>
                <w:bCs/>
              </w:rPr>
            </w:pPr>
            <w:r w:rsidRPr="00E62B7F">
              <w:rPr>
                <w:rFonts w:asciiTheme="minorHAnsi" w:hAnsiTheme="minorHAnsi" w:cstheme="minorHAnsi"/>
                <w:b/>
                <w:bCs/>
                <w:sz w:val="20"/>
              </w:rPr>
              <w:t>Α/Α</w:t>
            </w:r>
          </w:p>
        </w:tc>
        <w:tc>
          <w:tcPr>
            <w:tcW w:w="5670" w:type="dxa"/>
          </w:tcPr>
          <w:p w14:paraId="46EC88F5" w14:textId="4301926A" w:rsidR="006F2738" w:rsidRPr="001D1C1F" w:rsidRDefault="006F2738" w:rsidP="00C244B8">
            <w:pPr>
              <w:spacing w:before="1"/>
              <w:jc w:val="center"/>
              <w:rPr>
                <w:b/>
                <w:bCs/>
              </w:rPr>
            </w:pPr>
            <w:r w:rsidRPr="001D1C1F">
              <w:rPr>
                <w:b/>
                <w:bCs/>
              </w:rPr>
              <w:t>ΕΠΙΚΙΝΔΥΝΕΣ ΟΥΣΙΕΣ</w:t>
            </w:r>
            <w:r w:rsidR="00C244B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(Δραστικό συστατικό)</w:t>
            </w:r>
          </w:p>
        </w:tc>
        <w:tc>
          <w:tcPr>
            <w:tcW w:w="3827" w:type="dxa"/>
          </w:tcPr>
          <w:p w14:paraId="7B4EF29F" w14:textId="5E6E27F0" w:rsidR="006F2738" w:rsidRPr="006F2738" w:rsidRDefault="00C244B8" w:rsidP="00C244B8">
            <w:pPr>
              <w:spacing w:before="1"/>
              <w:jc w:val="center"/>
              <w:rPr>
                <w:b/>
                <w:bCs/>
                <w:color w:val="FF0000"/>
              </w:rPr>
            </w:pPr>
            <w:r w:rsidRPr="00E62B7F">
              <w:rPr>
                <w:rFonts w:asciiTheme="minorHAnsi" w:hAnsiTheme="minorHAnsi" w:cstheme="minorHAnsi"/>
                <w:b/>
                <w:color w:val="000000"/>
                <w:sz w:val="20"/>
              </w:rPr>
              <w:t>Δηλώσεις επικινδυνότητας</w:t>
            </w:r>
          </w:p>
        </w:tc>
      </w:tr>
      <w:tr w:rsidR="006F2738" w14:paraId="210CF54F" w14:textId="77777777" w:rsidTr="00C244B8">
        <w:tc>
          <w:tcPr>
            <w:tcW w:w="675" w:type="dxa"/>
            <w:vAlign w:val="center"/>
          </w:tcPr>
          <w:p w14:paraId="7128264F" w14:textId="4B08D4BC" w:rsidR="006F2738" w:rsidRPr="000D4A00" w:rsidRDefault="006F2738" w:rsidP="00C244B8">
            <w:pPr>
              <w:spacing w:before="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670" w:type="dxa"/>
          </w:tcPr>
          <w:p w14:paraId="14E1119F" w14:textId="715BFDE5" w:rsidR="006F2738" w:rsidRPr="000D4A00" w:rsidRDefault="006F2738" w:rsidP="006209A5">
            <w:pPr>
              <w:spacing w:before="1"/>
              <w:jc w:val="center"/>
            </w:pPr>
            <w:proofErr w:type="spellStart"/>
            <w:r w:rsidRPr="000D4A00">
              <w:rPr>
                <w:rFonts w:eastAsiaTheme="minorHAnsi"/>
              </w:rPr>
              <w:t>Aluminium</w:t>
            </w:r>
            <w:proofErr w:type="spellEnd"/>
          </w:p>
        </w:tc>
        <w:tc>
          <w:tcPr>
            <w:tcW w:w="3827" w:type="dxa"/>
            <w:vMerge w:val="restart"/>
          </w:tcPr>
          <w:p w14:paraId="196DB6DD" w14:textId="59B01B62" w:rsidR="006F2738" w:rsidRDefault="006F2738" w:rsidP="00C244B8">
            <w:pPr>
              <w:spacing w:before="1"/>
              <w:jc w:val="center"/>
            </w:pPr>
            <w:r>
              <w:t>H260, H250, H261, H271, H302, H372, H332, H411, H201</w:t>
            </w:r>
          </w:p>
        </w:tc>
      </w:tr>
      <w:tr w:rsidR="006F2738" w14:paraId="4C86716A" w14:textId="77777777" w:rsidTr="00C244B8">
        <w:tc>
          <w:tcPr>
            <w:tcW w:w="675" w:type="dxa"/>
            <w:vAlign w:val="center"/>
          </w:tcPr>
          <w:p w14:paraId="7A2DFC6B" w14:textId="2CD61082" w:rsidR="006F2738" w:rsidRPr="000D4A00" w:rsidRDefault="006F2738" w:rsidP="00C244B8">
            <w:pPr>
              <w:spacing w:before="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5670" w:type="dxa"/>
          </w:tcPr>
          <w:p w14:paraId="092B93F2" w14:textId="2C52A919" w:rsidR="006F2738" w:rsidRPr="000D4A00" w:rsidRDefault="006F2738" w:rsidP="006209A5">
            <w:pPr>
              <w:spacing w:before="1"/>
              <w:jc w:val="center"/>
            </w:pPr>
            <w:proofErr w:type="spellStart"/>
            <w:r w:rsidRPr="000D4A00">
              <w:rPr>
                <w:rFonts w:eastAsiaTheme="minorHAnsi"/>
              </w:rPr>
              <w:t>Magnalium</w:t>
            </w:r>
            <w:proofErr w:type="spellEnd"/>
          </w:p>
        </w:tc>
        <w:tc>
          <w:tcPr>
            <w:tcW w:w="3827" w:type="dxa"/>
            <w:vMerge/>
          </w:tcPr>
          <w:p w14:paraId="67D75FE3" w14:textId="3161F941" w:rsidR="006F2738" w:rsidRDefault="006F2738" w:rsidP="00C244B8">
            <w:pPr>
              <w:spacing w:before="1"/>
              <w:jc w:val="center"/>
            </w:pPr>
          </w:p>
        </w:tc>
      </w:tr>
      <w:tr w:rsidR="006F2738" w14:paraId="71336DB7" w14:textId="77777777" w:rsidTr="00C244B8">
        <w:tc>
          <w:tcPr>
            <w:tcW w:w="675" w:type="dxa"/>
            <w:vAlign w:val="center"/>
          </w:tcPr>
          <w:p w14:paraId="29FBE182" w14:textId="05766786" w:rsidR="006F2738" w:rsidRPr="000D4A00" w:rsidRDefault="006F2738" w:rsidP="00C244B8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5670" w:type="dxa"/>
          </w:tcPr>
          <w:p w14:paraId="5CB9C334" w14:textId="1ED27A34" w:rsidR="006F2738" w:rsidRPr="000D4A00" w:rsidRDefault="006F2738" w:rsidP="00C244B8">
            <w:pPr>
              <w:widowControl/>
              <w:adjustRightInd w:val="0"/>
              <w:jc w:val="center"/>
            </w:pPr>
            <w:proofErr w:type="spellStart"/>
            <w:r w:rsidRPr="000D4A00">
              <w:rPr>
                <w:rFonts w:eastAsiaTheme="minorHAnsi"/>
              </w:rPr>
              <w:t>Potassium</w:t>
            </w:r>
            <w:proofErr w:type="spellEnd"/>
            <w:r w:rsidR="00C244B8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0D4A00">
              <w:rPr>
                <w:rFonts w:eastAsiaTheme="minorHAnsi"/>
              </w:rPr>
              <w:t>perchlorate</w:t>
            </w:r>
            <w:proofErr w:type="spellEnd"/>
          </w:p>
        </w:tc>
        <w:tc>
          <w:tcPr>
            <w:tcW w:w="3827" w:type="dxa"/>
            <w:vMerge/>
          </w:tcPr>
          <w:p w14:paraId="5D82779B" w14:textId="49287B4F" w:rsidR="006F2738" w:rsidRDefault="006F2738" w:rsidP="00C244B8">
            <w:pPr>
              <w:spacing w:before="1"/>
              <w:jc w:val="center"/>
            </w:pPr>
          </w:p>
        </w:tc>
      </w:tr>
      <w:tr w:rsidR="006F2738" w14:paraId="67FB09CF" w14:textId="77777777" w:rsidTr="00C244B8">
        <w:tc>
          <w:tcPr>
            <w:tcW w:w="675" w:type="dxa"/>
            <w:vAlign w:val="center"/>
          </w:tcPr>
          <w:p w14:paraId="0C8690C6" w14:textId="2A6E2CB7" w:rsidR="006F2738" w:rsidRPr="000D4A00" w:rsidRDefault="006F2738" w:rsidP="00C244B8">
            <w:pPr>
              <w:spacing w:before="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5670" w:type="dxa"/>
          </w:tcPr>
          <w:p w14:paraId="5D0501B6" w14:textId="3F070CE5" w:rsidR="006F2738" w:rsidRPr="000D4A00" w:rsidRDefault="006F2738" w:rsidP="006209A5">
            <w:pPr>
              <w:spacing w:before="1"/>
              <w:jc w:val="center"/>
            </w:pPr>
            <w:proofErr w:type="spellStart"/>
            <w:r w:rsidRPr="000D4A00">
              <w:rPr>
                <w:rFonts w:eastAsiaTheme="minorHAnsi"/>
              </w:rPr>
              <w:t>Cryolite</w:t>
            </w:r>
            <w:proofErr w:type="spellEnd"/>
          </w:p>
        </w:tc>
        <w:tc>
          <w:tcPr>
            <w:tcW w:w="3827" w:type="dxa"/>
            <w:vMerge/>
          </w:tcPr>
          <w:p w14:paraId="241F8341" w14:textId="05111114" w:rsidR="006F2738" w:rsidRDefault="006F2738" w:rsidP="00C244B8">
            <w:pPr>
              <w:spacing w:before="1"/>
              <w:jc w:val="center"/>
            </w:pPr>
          </w:p>
        </w:tc>
      </w:tr>
      <w:tr w:rsidR="006F2738" w14:paraId="073690B7" w14:textId="77777777" w:rsidTr="00C244B8">
        <w:tc>
          <w:tcPr>
            <w:tcW w:w="675" w:type="dxa"/>
            <w:vAlign w:val="center"/>
          </w:tcPr>
          <w:p w14:paraId="63DF3FF0" w14:textId="5FB62253" w:rsidR="006F2738" w:rsidRPr="000D4A00" w:rsidRDefault="006F2738" w:rsidP="00C244B8">
            <w:pPr>
              <w:spacing w:before="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5670" w:type="dxa"/>
          </w:tcPr>
          <w:p w14:paraId="24B4490E" w14:textId="216CBEC5" w:rsidR="006F2738" w:rsidRPr="000D4A00" w:rsidRDefault="006F2738" w:rsidP="006209A5">
            <w:pPr>
              <w:spacing w:before="1"/>
              <w:jc w:val="center"/>
            </w:pPr>
            <w:proofErr w:type="spellStart"/>
            <w:r w:rsidRPr="000D4A00">
              <w:rPr>
                <w:rFonts w:eastAsiaTheme="minorHAnsi"/>
              </w:rPr>
              <w:t>Magnesium</w:t>
            </w:r>
            <w:proofErr w:type="spellEnd"/>
          </w:p>
        </w:tc>
        <w:tc>
          <w:tcPr>
            <w:tcW w:w="3827" w:type="dxa"/>
            <w:vMerge/>
          </w:tcPr>
          <w:p w14:paraId="3363656B" w14:textId="1B42AEA8" w:rsidR="006F2738" w:rsidRDefault="006F2738" w:rsidP="00C244B8">
            <w:pPr>
              <w:spacing w:before="1"/>
              <w:jc w:val="center"/>
            </w:pPr>
          </w:p>
        </w:tc>
      </w:tr>
      <w:tr w:rsidR="006F2738" w14:paraId="7598894D" w14:textId="77777777" w:rsidTr="00C244B8">
        <w:trPr>
          <w:trHeight w:val="228"/>
        </w:trPr>
        <w:tc>
          <w:tcPr>
            <w:tcW w:w="675" w:type="dxa"/>
            <w:vAlign w:val="center"/>
          </w:tcPr>
          <w:p w14:paraId="7D2A2232" w14:textId="18F7EB7C" w:rsidR="006F2738" w:rsidRDefault="006F2738" w:rsidP="00C244B8">
            <w:pPr>
              <w:spacing w:before="1"/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44036CB7" w14:textId="1B43A46D" w:rsidR="006F2738" w:rsidRPr="00747BA0" w:rsidRDefault="006F2738" w:rsidP="00C244B8">
            <w:pPr>
              <w:spacing w:before="1"/>
              <w:ind w:left="284"/>
              <w:jc w:val="center"/>
            </w:pPr>
            <w:proofErr w:type="spellStart"/>
            <w:r>
              <w:t>Ammonium</w:t>
            </w:r>
            <w:proofErr w:type="spellEnd"/>
            <w:r w:rsidR="00C244B8">
              <w:rPr>
                <w:lang w:val="en-US"/>
              </w:rPr>
              <w:t xml:space="preserve"> </w:t>
            </w:r>
            <w:proofErr w:type="spellStart"/>
            <w:r>
              <w:t>Perchlorate</w:t>
            </w:r>
            <w:proofErr w:type="spellEnd"/>
          </w:p>
        </w:tc>
        <w:tc>
          <w:tcPr>
            <w:tcW w:w="3827" w:type="dxa"/>
            <w:vMerge/>
          </w:tcPr>
          <w:p w14:paraId="526E895D" w14:textId="05CD4EA3" w:rsidR="006F2738" w:rsidRDefault="006F2738" w:rsidP="00C244B8">
            <w:pPr>
              <w:spacing w:before="1"/>
              <w:jc w:val="center"/>
            </w:pPr>
          </w:p>
        </w:tc>
      </w:tr>
      <w:tr w:rsidR="00C244B8" w14:paraId="09B1CA9A" w14:textId="77777777" w:rsidTr="00C244B8">
        <w:trPr>
          <w:trHeight w:val="228"/>
        </w:trPr>
        <w:tc>
          <w:tcPr>
            <w:tcW w:w="675" w:type="dxa"/>
            <w:vAlign w:val="center"/>
          </w:tcPr>
          <w:p w14:paraId="28DEE0AC" w14:textId="4CBB1755" w:rsidR="00C244B8" w:rsidRPr="00C244B8" w:rsidRDefault="00C244B8" w:rsidP="00C244B8">
            <w:pPr>
              <w:spacing w:before="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0" w:type="dxa"/>
          </w:tcPr>
          <w:p w14:paraId="095DF709" w14:textId="4F81EAC2" w:rsidR="00C244B8" w:rsidRDefault="00C244B8" w:rsidP="00C244B8">
            <w:pPr>
              <w:spacing w:before="1"/>
              <w:ind w:left="284"/>
              <w:jc w:val="center"/>
            </w:pPr>
            <w:r w:rsidRPr="00E62B7F">
              <w:rPr>
                <w:rFonts w:asciiTheme="minorHAnsi" w:hAnsiTheme="minorHAnsi" w:cstheme="minorHAnsi"/>
              </w:rPr>
              <w:t>Διοξείδιο του θείου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D1DC" w14:textId="56C066EF" w:rsidR="00C244B8" w:rsidRDefault="00C244B8" w:rsidP="00C244B8">
            <w:pPr>
              <w:spacing w:before="1"/>
              <w:jc w:val="center"/>
            </w:pPr>
            <w:r w:rsidRPr="00E62B7F">
              <w:rPr>
                <w:rFonts w:asciiTheme="minorHAnsi" w:hAnsiTheme="minorHAnsi" w:cstheme="minorHAnsi"/>
              </w:rPr>
              <w:t>H331, H314</w:t>
            </w:r>
          </w:p>
        </w:tc>
      </w:tr>
      <w:tr w:rsidR="00C244B8" w14:paraId="6AA47A68" w14:textId="77777777" w:rsidTr="00C244B8">
        <w:trPr>
          <w:trHeight w:val="228"/>
        </w:trPr>
        <w:tc>
          <w:tcPr>
            <w:tcW w:w="675" w:type="dxa"/>
            <w:vAlign w:val="center"/>
          </w:tcPr>
          <w:p w14:paraId="2AA2BD67" w14:textId="407AFD68" w:rsidR="00C244B8" w:rsidRPr="00C244B8" w:rsidRDefault="00C244B8" w:rsidP="00C244B8">
            <w:pPr>
              <w:spacing w:before="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0" w:type="dxa"/>
          </w:tcPr>
          <w:p w14:paraId="4048E61E" w14:textId="4617F4E9" w:rsidR="00C244B8" w:rsidRDefault="00C244B8" w:rsidP="00C244B8">
            <w:pPr>
              <w:spacing w:before="1"/>
              <w:ind w:left="284"/>
              <w:jc w:val="center"/>
            </w:pPr>
            <w:r w:rsidRPr="00E62B7F">
              <w:rPr>
                <w:rFonts w:asciiTheme="minorHAnsi" w:hAnsiTheme="minorHAnsi" w:cstheme="minorHAnsi"/>
              </w:rPr>
              <w:t>Διοξείδιο του αζώτου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F499" w14:textId="2E39BC56" w:rsidR="00C244B8" w:rsidRDefault="00C244B8" w:rsidP="00C244B8">
            <w:pPr>
              <w:spacing w:before="1"/>
              <w:jc w:val="center"/>
            </w:pPr>
            <w:r w:rsidRPr="00E62B7F">
              <w:rPr>
                <w:rFonts w:asciiTheme="minorHAnsi" w:hAnsiTheme="minorHAnsi" w:cstheme="minorHAnsi"/>
              </w:rPr>
              <w:t>H330, H314</w:t>
            </w:r>
          </w:p>
        </w:tc>
      </w:tr>
      <w:tr w:rsidR="00C244B8" w14:paraId="7CD269E2" w14:textId="77777777" w:rsidTr="00C244B8">
        <w:trPr>
          <w:trHeight w:val="228"/>
        </w:trPr>
        <w:tc>
          <w:tcPr>
            <w:tcW w:w="675" w:type="dxa"/>
            <w:vAlign w:val="center"/>
          </w:tcPr>
          <w:p w14:paraId="48F0B7AB" w14:textId="49585D57" w:rsidR="00C244B8" w:rsidRPr="00C244B8" w:rsidRDefault="00C244B8" w:rsidP="00C244B8">
            <w:pPr>
              <w:spacing w:before="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0" w:type="dxa"/>
          </w:tcPr>
          <w:p w14:paraId="55C2FD47" w14:textId="201B5FB8" w:rsidR="00C244B8" w:rsidRDefault="00C244B8" w:rsidP="00C244B8">
            <w:pPr>
              <w:spacing w:before="1"/>
              <w:ind w:left="284"/>
              <w:jc w:val="center"/>
            </w:pPr>
            <w:r w:rsidRPr="00E62B7F">
              <w:rPr>
                <w:rFonts w:asciiTheme="minorHAnsi" w:eastAsiaTheme="minorEastAsia" w:hAnsiTheme="minorHAnsi" w:cstheme="minorHAnsi"/>
              </w:rPr>
              <w:t>Μονοξείδιο του αζώτου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64AF" w14:textId="77FAFD17" w:rsidR="00C244B8" w:rsidRDefault="00C244B8" w:rsidP="00C244B8">
            <w:pPr>
              <w:spacing w:before="1"/>
              <w:jc w:val="center"/>
            </w:pPr>
            <w:r w:rsidRPr="00E62B7F">
              <w:rPr>
                <w:rFonts w:asciiTheme="minorHAnsi" w:hAnsiTheme="minorHAnsi" w:cstheme="minorHAnsi"/>
              </w:rPr>
              <w:t>H270, H280, H314, H330, H371</w:t>
            </w:r>
          </w:p>
        </w:tc>
      </w:tr>
      <w:tr w:rsidR="00C244B8" w14:paraId="2987EC8C" w14:textId="77777777" w:rsidTr="00C244B8">
        <w:trPr>
          <w:trHeight w:val="228"/>
        </w:trPr>
        <w:tc>
          <w:tcPr>
            <w:tcW w:w="675" w:type="dxa"/>
            <w:vAlign w:val="center"/>
          </w:tcPr>
          <w:p w14:paraId="0AF88F4F" w14:textId="029493D4" w:rsidR="00C244B8" w:rsidRPr="00C244B8" w:rsidRDefault="00C244B8" w:rsidP="00C244B8">
            <w:pPr>
              <w:spacing w:before="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0" w:type="dxa"/>
          </w:tcPr>
          <w:p w14:paraId="7C9E7A40" w14:textId="5533DDD9" w:rsidR="00C244B8" w:rsidRDefault="00C244B8" w:rsidP="00C244B8">
            <w:pPr>
              <w:spacing w:before="1"/>
              <w:ind w:left="284"/>
              <w:jc w:val="center"/>
            </w:pPr>
            <w:r w:rsidRPr="00E62B7F">
              <w:rPr>
                <w:rFonts w:asciiTheme="minorHAnsi" w:eastAsiaTheme="minorEastAsia" w:hAnsiTheme="minorHAnsi" w:cstheme="minorHAnsi"/>
              </w:rPr>
              <w:t>Μονοξείδιο του άνθρακα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DE10" w14:textId="72CC50FD" w:rsidR="00C244B8" w:rsidRDefault="00C244B8" w:rsidP="00C244B8">
            <w:pPr>
              <w:spacing w:before="1"/>
              <w:jc w:val="center"/>
            </w:pPr>
            <w:r w:rsidRPr="00E62B7F">
              <w:rPr>
                <w:rFonts w:asciiTheme="minorHAnsi" w:hAnsiTheme="minorHAnsi" w:cstheme="minorHAnsi"/>
              </w:rPr>
              <w:t>H220, H360D, H331, H372</w:t>
            </w:r>
          </w:p>
        </w:tc>
      </w:tr>
    </w:tbl>
    <w:p w14:paraId="1AE7006A" w14:textId="76E03901" w:rsidR="006209A5" w:rsidRDefault="006209A5" w:rsidP="00D80E92">
      <w:pPr>
        <w:spacing w:before="1"/>
        <w:ind w:left="284" w:hanging="142"/>
        <w:jc w:val="both"/>
      </w:pPr>
    </w:p>
    <w:tbl>
      <w:tblPr>
        <w:tblW w:w="884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13"/>
        <w:gridCol w:w="236"/>
      </w:tblGrid>
      <w:tr w:rsidR="002E2A9C" w:rsidRPr="00E62B7F" w14:paraId="7C7AA62C" w14:textId="77777777" w:rsidTr="00C244B8">
        <w:trPr>
          <w:gridAfter w:val="1"/>
          <w:wAfter w:w="236" w:type="dxa"/>
          <w:trHeight w:val="90"/>
        </w:trPr>
        <w:tc>
          <w:tcPr>
            <w:tcW w:w="8613" w:type="dxa"/>
            <w:hideMark/>
          </w:tcPr>
          <w:p w14:paraId="3DB8FACF" w14:textId="42FF06F7" w:rsidR="002E2A9C" w:rsidRPr="00C244B8" w:rsidRDefault="002E2A9C" w:rsidP="00D80E92">
            <w:pPr>
              <w:spacing w:before="1"/>
              <w:ind w:left="284" w:hanging="142"/>
              <w:jc w:val="both"/>
              <w:rPr>
                <w:u w:val="single"/>
              </w:rPr>
            </w:pPr>
            <w:r w:rsidRPr="00C244B8">
              <w:rPr>
                <w:u w:val="single"/>
              </w:rPr>
              <w:t xml:space="preserve">Δηλώσεις επικινδυνότητας: </w:t>
            </w:r>
          </w:p>
        </w:tc>
      </w:tr>
      <w:tr w:rsidR="002E2A9C" w:rsidRPr="00E62B7F" w14:paraId="3658959D" w14:textId="77777777" w:rsidTr="00C244B8">
        <w:trPr>
          <w:trHeight w:val="90"/>
        </w:trPr>
        <w:tc>
          <w:tcPr>
            <w:tcW w:w="8613" w:type="dxa"/>
            <w:hideMark/>
          </w:tcPr>
          <w:p w14:paraId="12F7DC05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 xml:space="preserve">H260 Σε επαφή με το νερό ελευθερώνει εύφλεκτα αέρια τα οποία μπορούν να </w:t>
            </w:r>
            <w:proofErr w:type="spellStart"/>
            <w:r>
              <w:t>αυτοαναφλεγούν</w:t>
            </w:r>
            <w:proofErr w:type="spellEnd"/>
          </w:p>
          <w:p w14:paraId="49C05AA5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 xml:space="preserve">H250 </w:t>
            </w:r>
            <w:proofErr w:type="spellStart"/>
            <w:r>
              <w:t>Αυτοαναφλέγεται</w:t>
            </w:r>
            <w:proofErr w:type="spellEnd"/>
            <w:r>
              <w:t xml:space="preserve"> εάν εκτεθεί στον αέρα</w:t>
            </w:r>
          </w:p>
          <w:p w14:paraId="736259EF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H261 Σε επαφή με το νερό ελευθερώνει εύφλεκτα αέρια</w:t>
            </w:r>
          </w:p>
          <w:p w14:paraId="1F21188B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H271 Μπορεί να προκαλέσει πυρκαγιά ή έκρηξη· ισχυρό οξειδωτικό</w:t>
            </w:r>
          </w:p>
          <w:p w14:paraId="53B74391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H302 Επιβλαβές σε περίπτωση κατάποσης</w:t>
            </w:r>
          </w:p>
          <w:p w14:paraId="38A7FEEC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H372 Προκαλεί βλάβες στα όργανα ύστερα από παρατεταμένη ή επανειλημμένη έκθεση</w:t>
            </w:r>
          </w:p>
          <w:p w14:paraId="1FEB7722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H332 Επιβλαβές σε περίπτωση εισπνοής</w:t>
            </w:r>
          </w:p>
          <w:p w14:paraId="27460D33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H411 Τοξικό για τους υδρόβιους οργανισμούς, με μακροχρόνιες επιπτώσεις</w:t>
            </w:r>
          </w:p>
          <w:p w14:paraId="78F39EF9" w14:textId="77777777" w:rsidR="00C244B8" w:rsidRDefault="00C244B8" w:rsidP="00C244B8">
            <w:pPr>
              <w:spacing w:before="1"/>
              <w:ind w:left="284" w:hanging="142"/>
              <w:jc w:val="both"/>
            </w:pPr>
            <w:r>
              <w:t>H201 Εκρηκτικά· κίνδυνος μαζικής έκρηξης</w:t>
            </w:r>
          </w:p>
          <w:p w14:paraId="0845D110" w14:textId="38679609" w:rsidR="002E2A9C" w:rsidRPr="003505A9" w:rsidRDefault="002E2A9C" w:rsidP="00C244B8">
            <w:pPr>
              <w:spacing w:before="1"/>
              <w:ind w:left="284" w:hanging="142"/>
              <w:jc w:val="both"/>
            </w:pPr>
            <w:r w:rsidRPr="003505A9">
              <w:t>Η220: Εξαιρετικά εύφλεκτο αέριο</w:t>
            </w:r>
          </w:p>
          <w:p w14:paraId="7971F5A7" w14:textId="12DD1C32" w:rsidR="002E2A9C" w:rsidRPr="003505A9" w:rsidRDefault="002E2A9C" w:rsidP="00D80E92">
            <w:pPr>
              <w:spacing w:before="1"/>
              <w:ind w:left="284" w:right="-119" w:hanging="142"/>
              <w:jc w:val="both"/>
            </w:pPr>
            <w:r w:rsidRPr="003505A9">
              <w:t>H270: Μπορεί να προκαλέσει ή να αναζωπυρώσει πυρκαγιά</w:t>
            </w:r>
            <w:r w:rsidR="003505A9">
              <w:t xml:space="preserve"> </w:t>
            </w:r>
            <w:r w:rsidRPr="003505A9">
              <w:t>οξειδωτικό</w:t>
            </w:r>
          </w:p>
          <w:p w14:paraId="23E9F344" w14:textId="77777777" w:rsidR="002E2A9C" w:rsidRPr="003505A9" w:rsidRDefault="002E2A9C" w:rsidP="00D80E92">
            <w:pPr>
              <w:spacing w:before="1"/>
              <w:ind w:left="284" w:hanging="142"/>
              <w:jc w:val="both"/>
            </w:pPr>
            <w:r w:rsidRPr="003505A9">
              <w:t xml:space="preserve">H280: Περιέχει αέριο υπό πίεση· εάν θερμανθεί, μπορεί να εκραγεί </w:t>
            </w:r>
          </w:p>
          <w:p w14:paraId="61264B3F" w14:textId="77777777" w:rsidR="002E2A9C" w:rsidRPr="003505A9" w:rsidRDefault="002E2A9C" w:rsidP="00D80E92">
            <w:pPr>
              <w:spacing w:before="1"/>
              <w:ind w:left="284" w:hanging="142"/>
              <w:jc w:val="both"/>
            </w:pPr>
            <w:r w:rsidRPr="003505A9">
              <w:t>H314: Προκαλεί σοβαρά δερματικά εγκαύματα και οφθαλμικές βλάβες</w:t>
            </w:r>
          </w:p>
          <w:p w14:paraId="68329EDD" w14:textId="77777777" w:rsidR="003505A9" w:rsidRDefault="002E2A9C" w:rsidP="00D80E92">
            <w:pPr>
              <w:spacing w:before="1"/>
              <w:ind w:left="284" w:hanging="142"/>
              <w:jc w:val="both"/>
            </w:pPr>
            <w:r w:rsidRPr="003505A9">
              <w:t>H330: Θανατηφόρο σε περίπτωση εισπνοής</w:t>
            </w:r>
            <w:r w:rsidR="003505A9" w:rsidRPr="003505A9">
              <w:t xml:space="preserve"> </w:t>
            </w:r>
          </w:p>
          <w:p w14:paraId="6A769197" w14:textId="4714133B" w:rsidR="003505A9" w:rsidRPr="003505A9" w:rsidRDefault="003505A9" w:rsidP="00D80E92">
            <w:pPr>
              <w:spacing w:before="1"/>
              <w:ind w:left="284" w:hanging="142"/>
              <w:jc w:val="both"/>
            </w:pPr>
            <w:r w:rsidRPr="003505A9">
              <w:t>Η360D: Μπορεί να βλάψει τη γονιμότητα ή το έμβρυο</w:t>
            </w:r>
          </w:p>
          <w:p w14:paraId="61BC4BE2" w14:textId="77777777" w:rsidR="003505A9" w:rsidRPr="003505A9" w:rsidRDefault="003505A9" w:rsidP="00D80E92">
            <w:pPr>
              <w:spacing w:before="1"/>
              <w:ind w:left="284" w:hanging="142"/>
              <w:jc w:val="both"/>
            </w:pPr>
            <w:r w:rsidRPr="003505A9">
              <w:t>Η331: Τοξικό σε περίπτωση εισπνοής</w:t>
            </w:r>
          </w:p>
          <w:p w14:paraId="45B87332" w14:textId="3526B024" w:rsidR="002E2A9C" w:rsidRPr="003505A9" w:rsidRDefault="003505A9" w:rsidP="00C244B8">
            <w:pPr>
              <w:spacing w:before="1"/>
              <w:ind w:left="284" w:hanging="142"/>
              <w:jc w:val="both"/>
            </w:pPr>
            <w:bookmarkStart w:id="5" w:name="_Hlk114228088"/>
            <w:r w:rsidRPr="003505A9">
              <w:t>H371: Μπορεί να προκαλέσει βλάβες στα όργανα</w:t>
            </w:r>
            <w:bookmarkEnd w:id="5"/>
          </w:p>
        </w:tc>
        <w:tc>
          <w:tcPr>
            <w:tcW w:w="236" w:type="dxa"/>
          </w:tcPr>
          <w:p w14:paraId="0BC8EDD4" w14:textId="77777777" w:rsidR="002E2A9C" w:rsidRPr="003505A9" w:rsidRDefault="002E2A9C" w:rsidP="00D80E92">
            <w:pPr>
              <w:spacing w:before="1"/>
              <w:ind w:left="284" w:hanging="142"/>
              <w:jc w:val="both"/>
            </w:pPr>
          </w:p>
        </w:tc>
      </w:tr>
    </w:tbl>
    <w:p w14:paraId="413DC014" w14:textId="77777777" w:rsidR="00C244B8" w:rsidRDefault="00C244B8" w:rsidP="006B3AFB">
      <w:pPr>
        <w:spacing w:before="1"/>
        <w:ind w:left="284"/>
        <w:jc w:val="center"/>
        <w:rPr>
          <w:b/>
          <w:sz w:val="24"/>
        </w:rPr>
      </w:pPr>
    </w:p>
    <w:p w14:paraId="079ABBC7" w14:textId="28402E52" w:rsidR="0007369A" w:rsidRPr="006B3AFB" w:rsidRDefault="000D4A00" w:rsidP="006B3AFB">
      <w:pPr>
        <w:spacing w:before="1"/>
        <w:ind w:left="284"/>
        <w:jc w:val="center"/>
        <w:rPr>
          <w:b/>
          <w:sz w:val="24"/>
        </w:rPr>
      </w:pPr>
      <w:r w:rsidRPr="000D4A00">
        <w:rPr>
          <w:b/>
          <w:sz w:val="24"/>
        </w:rPr>
        <w:t>ΣΤΟΙΧΕΙΑ ΚΑΙ ΠΛΗΡΟΦΟΡΙΕΣ ΣΧΕΤΙΚΑ ΜΕ ΤΙΣ ΜΕΤΑΤΡΟΠΕΣ ΣΤΗΝ ΕΓΚΑΤΑΣΤΑΣΗ ΚΑΤ’ ΕΦΑΡΜΟΓΗ ΤΟΥ ΑΡΘΡΟΥ 10 ΤΗΣ ΚΥΑ 172058/2016</w:t>
      </w:r>
    </w:p>
    <w:p w14:paraId="025FE3CE" w14:textId="4F569AFC" w:rsidR="00770EF4" w:rsidRDefault="006B3AFB" w:rsidP="008D6A1C">
      <w:pPr>
        <w:ind w:left="284" w:firstLine="426"/>
      </w:pPr>
      <w:r w:rsidRPr="006B3AFB">
        <w:t>Πριν πραγματοποιηθεί οποιαδήποτε μετατροπή σ</w:t>
      </w:r>
      <w:r w:rsidR="006209A5">
        <w:t>την εγκατάσταση</w:t>
      </w:r>
      <w:r w:rsidRPr="006B3AFB">
        <w:t xml:space="preserve"> ή μετατροπή της παραγωγικής διαδικασίας ή της φύσης ή της φυσικής κατάστασης ή των ποσοτήτων επικίνδυνων ουσιών που ενδέχεται να έχει σημαντικές συνέπειες για κινδύνους μεγάλου ατυχήματος, ο φορέας εκμετάλλευσης θα </w:t>
      </w:r>
      <w:proofErr w:type="spellStart"/>
      <w:r w:rsidRPr="006B3AFB">
        <w:t>επικαιροποιήσει</w:t>
      </w:r>
      <w:proofErr w:type="spellEnd"/>
      <w:r w:rsidRPr="006B3AFB">
        <w:t xml:space="preserve"> το φάκελο Κοινοποίησης</w:t>
      </w:r>
      <w:r w:rsidR="006835D5">
        <w:t xml:space="preserve"> </w:t>
      </w:r>
      <w:r w:rsidRPr="006B3AFB">
        <w:t>και τη Μελέτη Ασφαλείας.</w:t>
      </w:r>
    </w:p>
    <w:p w14:paraId="0B0514F8" w14:textId="77777777" w:rsidR="006B3AFB" w:rsidRDefault="006B3AFB" w:rsidP="006B3AFB">
      <w:pPr>
        <w:ind w:left="284" w:firstLine="426"/>
      </w:pPr>
    </w:p>
    <w:p w14:paraId="34CEDB39" w14:textId="26940AA6" w:rsidR="006B3AFB" w:rsidRPr="00770EF4" w:rsidRDefault="00770EF4" w:rsidP="00770EF4">
      <w:pPr>
        <w:pStyle w:val="a3"/>
        <w:spacing w:before="52"/>
        <w:ind w:left="354" w:right="497"/>
        <w:jc w:val="center"/>
        <w:rPr>
          <w:sz w:val="22"/>
          <w:szCs w:val="22"/>
        </w:rPr>
      </w:pPr>
      <w:r>
        <w:rPr>
          <w:b/>
          <w:color w:val="333333"/>
        </w:rPr>
        <w:t>ΠΛΗΡΟΦΟΡΙΕΣ ΓΙΑ ΓΕΙΤΟΝΙΚΕΣ ΕΓΚΑΤΑΣΤΑΣΕΙΣ ΜΕ ΕΠΙΚΙΝΔΥΝΕΣ ΟΥΣΙΕΣ ΠΟΥ ΕΝΔΕΧΕΤΑΙ ΝΑ ΕΧΟΥΝ ΠΟΛΛΑΠΛΑΣΙΑΣΤΙΚΑ ΑΠΟΤΕΛΕΣΜΑΤΑ ΣΥΜΦΩΝΑ ΜΕ ΤΟ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ΑΡΘΡΟ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8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ΤΗΣ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ΚΥΑ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172058/2016</w:t>
      </w:r>
    </w:p>
    <w:p w14:paraId="1B96D5A5" w14:textId="5EFE0EEB" w:rsidR="00145AA9" w:rsidRDefault="00145AA9" w:rsidP="00145AA9">
      <w:pPr>
        <w:pStyle w:val="TableParagraph"/>
        <w:ind w:left="284" w:firstLine="425"/>
        <w:jc w:val="both"/>
      </w:pPr>
      <w:r>
        <w:t xml:space="preserve">Το δυσμενέστερο σενάριο ατυχήματος της εγκατάστασης είναι: ΈΚΡΗΞΗ από ανάφλεξη πυροτεχνημάτων 50 </w:t>
      </w:r>
      <w:proofErr w:type="spellStart"/>
      <w:r>
        <w:t>tn</w:t>
      </w:r>
      <w:proofErr w:type="spellEnd"/>
      <w:r>
        <w:t xml:space="preserve"> σε επιχωματωμένη αποθήκη Μ206 ή Μ207 (Κωδικός Σεναρίου: Σ301.ΜΑ1.[ΑΠ.Μ206-50].ΠΥΡ.ΦΑΙΣ.VCE και Σ301.ΜΑ1.[ΑΠ.Μ207-50].ΠΥΡ.ΦΑΙΣ.VCE)</w:t>
      </w:r>
    </w:p>
    <w:p w14:paraId="6EDC44DF" w14:textId="28BB001D" w:rsidR="00770EF4" w:rsidRDefault="00145AA9" w:rsidP="00145AA9">
      <w:pPr>
        <w:pStyle w:val="TableParagraph"/>
        <w:ind w:left="284" w:firstLine="425"/>
        <w:jc w:val="both"/>
      </w:pPr>
      <w:r>
        <w:t>Για το ανωτέρω δυσμενέστερο σενάριο ατυχήματος η ζώνη πολλαπλασιαστικών φαινομένων (</w:t>
      </w:r>
      <w:proofErr w:type="spellStart"/>
      <w:r>
        <w:t>domino</w:t>
      </w:r>
      <w:proofErr w:type="spellEnd"/>
      <w:r>
        <w:t>) είναι μηδενική.</w:t>
      </w:r>
    </w:p>
    <w:p w14:paraId="040F2BE9" w14:textId="4D5F16EC" w:rsidR="00850711" w:rsidRPr="00770EF4" w:rsidRDefault="00850711" w:rsidP="00850711">
      <w:pPr>
        <w:pStyle w:val="TableParagraph"/>
        <w:ind w:left="284"/>
        <w:jc w:val="both"/>
      </w:pPr>
      <w:r>
        <w:rPr>
          <w:noProof/>
        </w:rPr>
        <w:lastRenderedPageBreak/>
        <w:drawing>
          <wp:inline distT="0" distB="0" distL="0" distR="0" wp14:anchorId="53FF319A" wp14:editId="4BE8EBF2">
            <wp:extent cx="6473825" cy="3462655"/>
            <wp:effectExtent l="0" t="0" r="0" b="0"/>
            <wp:docPr id="921035113" name="Εικόνα 1" descr="Εικόνα που περιέχει κείμενο, στιγμιότυπο οθόνης, αριθμό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35113" name="Εικόνα 1" descr="Εικόνα που περιέχει κείμενο, στιγμιότυπο οθόνης, αριθμός, γραμματοσειρά&#10;&#10;Περιγραφή που δημιουργήθηκε αυτόματα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2B2F" w14:textId="77777777" w:rsidR="00145AA9" w:rsidRDefault="00145AA9" w:rsidP="00770EF4">
      <w:pPr>
        <w:ind w:left="284" w:firstLine="426"/>
        <w:jc w:val="center"/>
        <w:rPr>
          <w:b/>
          <w:color w:val="333333"/>
          <w:sz w:val="24"/>
          <w:szCs w:val="24"/>
        </w:rPr>
      </w:pPr>
    </w:p>
    <w:p w14:paraId="39522E6E" w14:textId="43266545" w:rsidR="006B3AFB" w:rsidRDefault="00770EF4" w:rsidP="00770EF4">
      <w:pPr>
        <w:ind w:left="284" w:firstLine="426"/>
        <w:jc w:val="center"/>
        <w:rPr>
          <w:b/>
          <w:color w:val="333333"/>
          <w:sz w:val="24"/>
          <w:szCs w:val="24"/>
        </w:rPr>
      </w:pPr>
      <w:r w:rsidRPr="00770EF4">
        <w:rPr>
          <w:b/>
          <w:color w:val="333333"/>
          <w:sz w:val="24"/>
          <w:szCs w:val="24"/>
        </w:rPr>
        <w:t>ΠΟΛΛΑΠΛΑΣΙΑΣΤΙΚΑ ΑΠΟΤΕΛΕΣΜΑΤΑ ΣΤΗΝ «ΑΔΑΜΑΣ ΠΥΡ ΙΚΕ» ΛΟΓΩ ΑΤΥΧΗΜΑΤΟΣ ΣΕ ΓΕΙΤΟΝΙΚΗ ΕΓΚΑΤΑΣΤΑΣΗ</w:t>
      </w:r>
    </w:p>
    <w:p w14:paraId="7FDA4FF8" w14:textId="6A787E57" w:rsidR="00770EF4" w:rsidRPr="00770EF4" w:rsidRDefault="00770EF4" w:rsidP="00770EF4">
      <w:pPr>
        <w:ind w:left="284" w:firstLine="426"/>
        <w:jc w:val="both"/>
      </w:pPr>
      <w:r w:rsidRPr="00770EF4">
        <w:t xml:space="preserve">Η τοποθεσία εγκατάστασης των αποθηκών χαρακτηρίζεται ως απομονωμένη. Στην περιοχή πλησίον της εγκατάστασης δεν υπάρχει οργανωμένη βιομηχανική ή άλλης φύσεως (γεωργική τουριστική ή κτηνοτροφική δραστηριότητα). Στην περιοχή εντοπίζονται μεμονωμένες </w:t>
      </w:r>
      <w:proofErr w:type="spellStart"/>
      <w:r w:rsidRPr="00770EF4">
        <w:t>θερμοκηπιακές</w:t>
      </w:r>
      <w:proofErr w:type="spellEnd"/>
      <w:r w:rsidRPr="00770EF4">
        <w:t xml:space="preserve"> καλλιέργειες. Εν κατακλείδι δεν εντοπίζονται οποιασδήποτε μορφής δραστηριότητες που να ενισχύουν ένα πιθανό μελλοντικό ατύχημα μεγάλης κλίμακας.</w:t>
      </w:r>
    </w:p>
    <w:p w14:paraId="022C3614" w14:textId="77777777" w:rsidR="008D6A1C" w:rsidRDefault="008D6A1C" w:rsidP="00BA4C7F">
      <w:pPr>
        <w:jc w:val="both"/>
      </w:pPr>
    </w:p>
    <w:p w14:paraId="49902273" w14:textId="62AB4A4D" w:rsidR="009578F1" w:rsidRPr="009578F1" w:rsidRDefault="009578F1" w:rsidP="009578F1">
      <w:pPr>
        <w:ind w:left="284" w:firstLine="426"/>
        <w:jc w:val="center"/>
        <w:rPr>
          <w:b/>
          <w:color w:val="333333"/>
          <w:sz w:val="24"/>
          <w:szCs w:val="24"/>
        </w:rPr>
      </w:pPr>
      <w:r w:rsidRPr="009578F1">
        <w:rPr>
          <w:b/>
          <w:color w:val="333333"/>
          <w:sz w:val="24"/>
          <w:szCs w:val="24"/>
        </w:rPr>
        <w:t>ΚΙΝΔΥΝΟΙ ΚΑΙ ΣΕΝΑΡΙΑ ΜΕΓΑΛΩΝ ΑΤΥΧΗΜΑΤΩΝ</w:t>
      </w:r>
    </w:p>
    <w:p w14:paraId="0BA3C11F" w14:textId="77777777" w:rsidR="007A0D92" w:rsidRDefault="008D6A1C" w:rsidP="00243BA4">
      <w:pPr>
        <w:ind w:left="284"/>
        <w:jc w:val="both"/>
      </w:pPr>
      <w:r>
        <w:tab/>
      </w:r>
      <w:r w:rsidR="007A0D92">
        <w:t>Οι κίνδυνοι</w:t>
      </w:r>
      <w:r>
        <w:t xml:space="preserve"> από την εκδήλωση ενός μεγάλου ατυχήματος σε χώρους αποθήκευσης εκρηκτικών </w:t>
      </w:r>
      <w:r w:rsidR="007A0D92">
        <w:t xml:space="preserve">είναι: </w:t>
      </w:r>
    </w:p>
    <w:p w14:paraId="3A520582" w14:textId="77AA2D41" w:rsidR="007A0D92" w:rsidRDefault="007A0D92" w:rsidP="00243BA4">
      <w:pPr>
        <w:ind w:left="284"/>
        <w:jc w:val="both"/>
      </w:pPr>
      <w:r>
        <w:t xml:space="preserve">α) </w:t>
      </w:r>
      <w:r w:rsidR="008D6A1C">
        <w:t xml:space="preserve">έντονη θερμική ακτινοβολία, </w:t>
      </w:r>
      <w:r>
        <w:t xml:space="preserve">β) </w:t>
      </w:r>
      <w:r w:rsidR="008D6A1C">
        <w:t xml:space="preserve">έκλυση τοξικών ουσιών και </w:t>
      </w:r>
      <w:r>
        <w:t xml:space="preserve">γ) </w:t>
      </w:r>
      <w:r w:rsidR="008D6A1C">
        <w:t>ισχυρό ωστικό κύμα</w:t>
      </w:r>
      <w:r>
        <w:t>.</w:t>
      </w:r>
    </w:p>
    <w:p w14:paraId="45C5D6A9" w14:textId="3F329ADD" w:rsidR="00243BA4" w:rsidRDefault="000C412D" w:rsidP="00243B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84"/>
        <w:jc w:val="both"/>
      </w:pPr>
      <w:r>
        <w:t>Η</w:t>
      </w:r>
      <w:r w:rsidR="00243BA4" w:rsidRPr="00243BA4">
        <w:t xml:space="preserve"> </w:t>
      </w:r>
      <w:proofErr w:type="spellStart"/>
      <w:r w:rsidR="00243BA4" w:rsidRPr="00243BA4">
        <w:t>χωροθέτηση</w:t>
      </w:r>
      <w:proofErr w:type="spellEnd"/>
      <w:r w:rsidR="00243BA4" w:rsidRPr="00243BA4">
        <w:t xml:space="preserve"> των κτιρίων και οι</w:t>
      </w:r>
      <w:r w:rsidR="00243BA4">
        <w:t xml:space="preserve"> </w:t>
      </w:r>
      <w:proofErr w:type="spellStart"/>
      <w:r w:rsidR="00243BA4" w:rsidRPr="00243BA4">
        <w:t>αποθηκευόμενες</w:t>
      </w:r>
      <w:proofErr w:type="spellEnd"/>
      <w:r w:rsidR="00243BA4" w:rsidRPr="00243BA4">
        <w:t xml:space="preserve"> σ’ αυτά ποσότητες επικίνδυνων υλικών είναι τέτοιες ώστε δεν αναμένονται</w:t>
      </w:r>
      <w:r w:rsidR="00243BA4">
        <w:t xml:space="preserve"> </w:t>
      </w:r>
      <w:r w:rsidR="007A0D92">
        <w:t xml:space="preserve">επιπτώσεις για τον πληθυσμό, ούτε </w:t>
      </w:r>
      <w:r w:rsidR="00243BA4" w:rsidRPr="00243BA4">
        <w:t>ζημιές</w:t>
      </w:r>
      <w:r w:rsidR="007A0D92">
        <w:t xml:space="preserve">. </w:t>
      </w:r>
      <w:r w:rsidR="00243BA4" w:rsidRPr="00243BA4">
        <w:t>Η ασφάλεια της ζωής</w:t>
      </w:r>
      <w:r w:rsidR="00243BA4">
        <w:t xml:space="preserve"> </w:t>
      </w:r>
      <w:r w:rsidR="00243BA4" w:rsidRPr="00243BA4">
        <w:t>ακόμα και των πλησιέστερων κατοίκων της περιοχής δεν απειλείται σε καμιά</w:t>
      </w:r>
      <w:r w:rsidR="00243BA4">
        <w:t xml:space="preserve"> </w:t>
      </w:r>
      <w:r w:rsidR="00243BA4" w:rsidRPr="00243BA4">
        <w:t>περίπτωση, λόγω της μεγάλης απόστασης των κατοικιών από την εγκατάσταση και</w:t>
      </w:r>
      <w:r w:rsidR="00243BA4">
        <w:t xml:space="preserve"> </w:t>
      </w:r>
      <w:r w:rsidR="00243BA4" w:rsidRPr="00243BA4">
        <w:t>της κατασκευής των κτιρίων των αποθηκών, που είναι επικαλυμμένα με χώμα για</w:t>
      </w:r>
      <w:r w:rsidR="00243BA4">
        <w:t xml:space="preserve"> </w:t>
      </w:r>
      <w:r w:rsidR="00243BA4" w:rsidRPr="00243BA4">
        <w:t>πλήρη ανάσχεση του ωστικού κύματος και όδευση του όποιου εναπομείναντος σε</w:t>
      </w:r>
      <w:r w:rsidR="00243BA4">
        <w:t xml:space="preserve"> </w:t>
      </w:r>
      <w:r w:rsidR="00243BA4" w:rsidRPr="00243BA4">
        <w:t>κατεύθυνση όπου δεν υπάρχει ούτε κατοικία ούτε οδός επικοινωνίας μεταξύ των</w:t>
      </w:r>
      <w:r w:rsidR="00243BA4">
        <w:t xml:space="preserve"> </w:t>
      </w:r>
      <w:r w:rsidR="00243BA4" w:rsidRPr="00243BA4">
        <w:t>γειτνιαζόντων περιοχών.</w:t>
      </w:r>
    </w:p>
    <w:p w14:paraId="2B3F8B68" w14:textId="77777777" w:rsidR="00243BA4" w:rsidRDefault="00243BA4" w:rsidP="00243B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84"/>
      </w:pPr>
    </w:p>
    <w:p w14:paraId="6409E6A9" w14:textId="1E872C06" w:rsidR="00243BA4" w:rsidRDefault="00243BA4" w:rsidP="000C412D">
      <w:pPr>
        <w:pStyle w:val="TableParagraph"/>
        <w:spacing w:line="237" w:lineRule="auto"/>
        <w:ind w:left="284" w:right="214" w:firstLine="567"/>
      </w:pPr>
      <w:r w:rsidRPr="00243BA4">
        <w:t>Παράλληλα, η εταιρεία έχει καταρτίσει ένα (εσωτερικό) Σχέδιο</w:t>
      </w:r>
      <w:r w:rsidR="009578F1">
        <w:t xml:space="preserve"> Έκτακτης ανάγκης </w:t>
      </w:r>
      <w:r>
        <w:t xml:space="preserve"> </w:t>
      </w:r>
      <w:r w:rsidRPr="00243BA4">
        <w:t>(ΣΕΑ) που προβλέπει τον τρόπο κινητοποίησης του προσωπικό</w:t>
      </w:r>
      <w:r w:rsidR="009578F1">
        <w:t xml:space="preserve"> για την άμεση και ασφαλή αντιμετώπιση του οποιουδήποτε </w:t>
      </w:r>
      <w:r w:rsidR="000C412D">
        <w:t xml:space="preserve"> έ</w:t>
      </w:r>
      <w:r w:rsidR="009578F1">
        <w:t xml:space="preserve">κτακτου περιστατικού εντός της εγκατάστασης και </w:t>
      </w:r>
      <w:r w:rsidR="009578F1" w:rsidRPr="009578F1">
        <w:t>συνεργάζεται με όλους τους εμπλεκόμενους φορείς</w:t>
      </w:r>
      <w:r w:rsidR="009578F1">
        <w:t xml:space="preserve"> </w:t>
      </w:r>
      <w:r w:rsidR="009578F1" w:rsidRPr="009578F1">
        <w:t>προκειμένου να διαχειριστεί τα μεγάλα ατυχήματα και να μειώσει τις συνέπειές τους και εκτός της εγκατάστασης.</w:t>
      </w:r>
    </w:p>
    <w:p w14:paraId="7F53F83A" w14:textId="77777777" w:rsidR="00243BA4" w:rsidRPr="00243BA4" w:rsidRDefault="00243BA4" w:rsidP="009578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84"/>
        <w:jc w:val="both"/>
      </w:pPr>
    </w:p>
    <w:p w14:paraId="6CCA7389" w14:textId="77777777" w:rsidR="00E53BEE" w:rsidRPr="001D3FF0" w:rsidRDefault="00E53BEE" w:rsidP="001D3FF0">
      <w:pPr>
        <w:pStyle w:val="11"/>
        <w:rPr>
          <w:w w:val="90"/>
        </w:rPr>
      </w:pPr>
      <w:r w:rsidRPr="001D3FF0">
        <w:rPr>
          <w:w w:val="90"/>
        </w:rPr>
        <w:t>ΠΡΟΕΙΔΟΠΟΙΗΣΗ ΚΑΙ ΣΥΜΠΕΡΙΦΟΡΑ ΤΟΥ ΚΟΙΝΟΥ ΣΕ ΠΕΡΙΠΤΩΣΗ ΑΤΥΧΗΜΑΤΟΣ</w:t>
      </w:r>
    </w:p>
    <w:p w14:paraId="2DBF3DF7" w14:textId="77777777" w:rsidR="00E53BEE" w:rsidRPr="00BA4C7F" w:rsidRDefault="00E53BEE" w:rsidP="00E53BEE">
      <w:pPr>
        <w:ind w:left="284" w:firstLine="426"/>
        <w:jc w:val="both"/>
      </w:pPr>
      <w:r w:rsidRPr="00BA4C7F">
        <w:t>Σε περίπτωση ατυχήματος, το κοινό το οποίο μπορεί να πληγεί θα ενημερωθεί σχετικά με το συμβάν με τον πλέον πρόσφορο τρόπο.</w:t>
      </w:r>
    </w:p>
    <w:p w14:paraId="454AFE4C" w14:textId="3E56CC8D" w:rsidR="00E53BEE" w:rsidRDefault="00E53BEE" w:rsidP="000C412D">
      <w:pPr>
        <w:ind w:left="284" w:firstLine="425"/>
        <w:jc w:val="both"/>
      </w:pPr>
      <w:r w:rsidRPr="00BA4C7F">
        <w:t xml:space="preserve">Γενικές οδηγίες αυτοπροστασίας σε περίπτωση ατυχήματος σε εγκαταστάσεις SEVESO είναι αναρτημένες στον </w:t>
      </w:r>
      <w:proofErr w:type="spellStart"/>
      <w:r w:rsidRPr="00BA4C7F">
        <w:t>ιστοχώρο</w:t>
      </w:r>
      <w:proofErr w:type="spellEnd"/>
      <w:r w:rsidRPr="00BA4C7F">
        <w:t xml:space="preserve"> της Περιφέρεια Κρήτης</w:t>
      </w:r>
      <w:r w:rsidR="000C412D">
        <w:t xml:space="preserve"> </w:t>
      </w:r>
      <w:r w:rsidRPr="00BA4C7F">
        <w:t>και της Γενικής Γραμματείας Πολιτικής Προστασίας</w:t>
      </w:r>
      <w:r w:rsidR="000C412D">
        <w:t>:</w:t>
      </w:r>
    </w:p>
    <w:p w14:paraId="0351842D" w14:textId="01457C23" w:rsidR="00770EF4" w:rsidRPr="00E15431" w:rsidRDefault="001B4FA0" w:rsidP="0003649D">
      <w:hyperlink r:id="rId11" w:history="1">
        <w:r w:rsidR="000C412D" w:rsidRPr="005C7AC6">
          <w:rPr>
            <w:rStyle w:val="-"/>
          </w:rPr>
          <w:t>https://civilprotection.gov.gr/odigies-prostasias/biomihanika-atyhimata</w:t>
        </w:r>
      </w:hyperlink>
      <w:r w:rsidR="000C412D">
        <w:t xml:space="preserve"> </w:t>
      </w:r>
    </w:p>
    <w:p w14:paraId="3B12A201" w14:textId="77777777" w:rsidR="000C412D" w:rsidRDefault="000C412D" w:rsidP="002B2CB6">
      <w:pPr>
        <w:pStyle w:val="a3"/>
        <w:spacing w:line="237" w:lineRule="auto"/>
        <w:ind w:left="284" w:right="425"/>
        <w:rPr>
          <w:rFonts w:ascii="Times New Roman" w:hAnsi="Times New Roman"/>
          <w:b/>
          <w:u w:val="single"/>
        </w:rPr>
      </w:pPr>
    </w:p>
    <w:p w14:paraId="794A23AF" w14:textId="22F20E13" w:rsidR="006501DA" w:rsidRPr="002B2CB6" w:rsidRDefault="002B2CB6" w:rsidP="002B2CB6">
      <w:pPr>
        <w:pStyle w:val="a3"/>
        <w:spacing w:line="237" w:lineRule="auto"/>
        <w:ind w:left="284" w:right="425"/>
        <w:rPr>
          <w:rFonts w:ascii="Times New Roman" w:hAnsi="Times New Roman"/>
          <w:b/>
          <w:u w:val="single"/>
        </w:rPr>
      </w:pPr>
      <w:r w:rsidRPr="002B2CB6">
        <w:rPr>
          <w:rFonts w:ascii="Times New Roman" w:hAnsi="Times New Roman"/>
          <w:b/>
          <w:u w:val="single"/>
        </w:rPr>
        <w:t xml:space="preserve">Εκτίμηση </w:t>
      </w:r>
      <w:r>
        <w:rPr>
          <w:rFonts w:ascii="Times New Roman" w:hAnsi="Times New Roman"/>
          <w:b/>
          <w:u w:val="single"/>
        </w:rPr>
        <w:t>διασυνοριακών επιπτώσεων:</w:t>
      </w:r>
      <w:r w:rsidRPr="00511607">
        <w:rPr>
          <w:rFonts w:ascii="Times New Roman" w:hAnsi="Times New Roman"/>
          <w:b/>
        </w:rPr>
        <w:t xml:space="preserve"> </w:t>
      </w:r>
      <w:r w:rsidRPr="002B2CB6">
        <w:rPr>
          <w:sz w:val="22"/>
          <w:szCs w:val="22"/>
        </w:rPr>
        <w:t>ΟΧΙ</w:t>
      </w:r>
    </w:p>
    <w:p w14:paraId="25A6854D" w14:textId="77777777" w:rsidR="002B2CB6" w:rsidRDefault="002B2CB6" w:rsidP="00692FEF">
      <w:pPr>
        <w:jc w:val="center"/>
        <w:rPr>
          <w:b/>
          <w:u w:val="single"/>
        </w:rPr>
      </w:pPr>
      <w:bookmarkStart w:id="6" w:name="Συνοπτική_εξειδικευμένη_πληροφόρηση_προς"/>
      <w:bookmarkEnd w:id="6"/>
    </w:p>
    <w:p w14:paraId="4F799A8E" w14:textId="54F61DEF" w:rsidR="00B82D64" w:rsidRPr="000C412D" w:rsidRDefault="00B82D64" w:rsidP="001B4FA0">
      <w:pPr>
        <w:ind w:right="488"/>
        <w:jc w:val="both"/>
        <w:rPr>
          <w:color w:val="C00000"/>
          <w:sz w:val="20"/>
          <w:szCs w:val="20"/>
        </w:rPr>
      </w:pPr>
    </w:p>
    <w:sectPr w:rsidR="00B82D64" w:rsidRPr="000C412D" w:rsidSect="000C412D">
      <w:pgSz w:w="11910" w:h="16840"/>
      <w:pgMar w:top="720" w:right="711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F208" w14:textId="77777777" w:rsidR="00E56809" w:rsidRDefault="00E56809" w:rsidP="00CA7B18">
      <w:pPr>
        <w:pStyle w:val="TableParagraph"/>
      </w:pPr>
      <w:r>
        <w:separator/>
      </w:r>
    </w:p>
  </w:endnote>
  <w:endnote w:type="continuationSeparator" w:id="0">
    <w:p w14:paraId="6BF06750" w14:textId="77777777" w:rsidR="00E56809" w:rsidRDefault="00E56809" w:rsidP="00CA7B18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899F" w14:textId="77777777" w:rsidR="00E56809" w:rsidRDefault="00E56809" w:rsidP="00CA7B18">
      <w:pPr>
        <w:pStyle w:val="TableParagraph"/>
      </w:pPr>
      <w:r>
        <w:separator/>
      </w:r>
    </w:p>
  </w:footnote>
  <w:footnote w:type="continuationSeparator" w:id="0">
    <w:p w14:paraId="3898F696" w14:textId="77777777" w:rsidR="00E56809" w:rsidRDefault="00E56809" w:rsidP="00CA7B18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5C66"/>
    <w:multiLevelType w:val="hybridMultilevel"/>
    <w:tmpl w:val="E39C93D2"/>
    <w:lvl w:ilvl="0" w:tplc="705AC798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101"/>
        <w:sz w:val="18"/>
        <w:szCs w:val="18"/>
        <w:lang w:val="el-GR" w:eastAsia="en-US" w:bidi="ar-SA"/>
      </w:rPr>
    </w:lvl>
    <w:lvl w:ilvl="1" w:tplc="9B50D4F4">
      <w:numFmt w:val="bullet"/>
      <w:lvlText w:val="•"/>
      <w:lvlJc w:val="left"/>
      <w:pPr>
        <w:ind w:left="1548" w:hanging="360"/>
      </w:pPr>
      <w:rPr>
        <w:rFonts w:hint="default"/>
        <w:lang w:val="el-GR" w:eastAsia="en-US" w:bidi="ar-SA"/>
      </w:rPr>
    </w:lvl>
    <w:lvl w:ilvl="2" w:tplc="5128F562">
      <w:numFmt w:val="bullet"/>
      <w:lvlText w:val="•"/>
      <w:lvlJc w:val="left"/>
      <w:pPr>
        <w:ind w:left="2036" w:hanging="360"/>
      </w:pPr>
      <w:rPr>
        <w:rFonts w:hint="default"/>
        <w:lang w:val="el-GR" w:eastAsia="en-US" w:bidi="ar-SA"/>
      </w:rPr>
    </w:lvl>
    <w:lvl w:ilvl="3" w:tplc="31D65830">
      <w:numFmt w:val="bullet"/>
      <w:lvlText w:val="•"/>
      <w:lvlJc w:val="left"/>
      <w:pPr>
        <w:ind w:left="2524" w:hanging="360"/>
      </w:pPr>
      <w:rPr>
        <w:rFonts w:hint="default"/>
        <w:lang w:val="el-GR" w:eastAsia="en-US" w:bidi="ar-SA"/>
      </w:rPr>
    </w:lvl>
    <w:lvl w:ilvl="4" w:tplc="A88210EA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5" w:tplc="4E70B380">
      <w:numFmt w:val="bullet"/>
      <w:lvlText w:val="•"/>
      <w:lvlJc w:val="left"/>
      <w:pPr>
        <w:ind w:left="3501" w:hanging="360"/>
      </w:pPr>
      <w:rPr>
        <w:rFonts w:hint="default"/>
        <w:lang w:val="el-GR" w:eastAsia="en-US" w:bidi="ar-SA"/>
      </w:rPr>
    </w:lvl>
    <w:lvl w:ilvl="6" w:tplc="E6FCEEE8">
      <w:numFmt w:val="bullet"/>
      <w:lvlText w:val="•"/>
      <w:lvlJc w:val="left"/>
      <w:pPr>
        <w:ind w:left="3989" w:hanging="360"/>
      </w:pPr>
      <w:rPr>
        <w:rFonts w:hint="default"/>
        <w:lang w:val="el-GR" w:eastAsia="en-US" w:bidi="ar-SA"/>
      </w:rPr>
    </w:lvl>
    <w:lvl w:ilvl="7" w:tplc="BEB47852">
      <w:numFmt w:val="bullet"/>
      <w:lvlText w:val="•"/>
      <w:lvlJc w:val="left"/>
      <w:pPr>
        <w:ind w:left="4478" w:hanging="360"/>
      </w:pPr>
      <w:rPr>
        <w:rFonts w:hint="default"/>
        <w:lang w:val="el-GR" w:eastAsia="en-US" w:bidi="ar-SA"/>
      </w:rPr>
    </w:lvl>
    <w:lvl w:ilvl="8" w:tplc="651EC2F2">
      <w:numFmt w:val="bullet"/>
      <w:lvlText w:val="•"/>
      <w:lvlJc w:val="left"/>
      <w:pPr>
        <w:ind w:left="496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76D7337"/>
    <w:multiLevelType w:val="hybridMultilevel"/>
    <w:tmpl w:val="CBBA5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650F"/>
    <w:multiLevelType w:val="hybridMultilevel"/>
    <w:tmpl w:val="B266A444"/>
    <w:lvl w:ilvl="0" w:tplc="866E8B5C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82"/>
    <w:multiLevelType w:val="hybridMultilevel"/>
    <w:tmpl w:val="1AF0DC7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9D7E98"/>
    <w:multiLevelType w:val="hybridMultilevel"/>
    <w:tmpl w:val="B4CEE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F31F6"/>
    <w:multiLevelType w:val="hybridMultilevel"/>
    <w:tmpl w:val="AE2C5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85CAD"/>
    <w:multiLevelType w:val="hybridMultilevel"/>
    <w:tmpl w:val="3506726E"/>
    <w:lvl w:ilvl="0" w:tplc="8940F32E">
      <w:start w:val="1"/>
      <w:numFmt w:val="decimal"/>
      <w:lvlText w:val="%1."/>
      <w:lvlJc w:val="left"/>
      <w:pPr>
        <w:ind w:left="105" w:hanging="178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l-GR" w:eastAsia="en-US" w:bidi="ar-SA"/>
      </w:rPr>
    </w:lvl>
    <w:lvl w:ilvl="1" w:tplc="CF0EE57C">
      <w:numFmt w:val="bullet"/>
      <w:lvlText w:val="•"/>
      <w:lvlJc w:val="left"/>
      <w:pPr>
        <w:ind w:left="950" w:hanging="178"/>
      </w:pPr>
      <w:rPr>
        <w:rFonts w:hint="default"/>
        <w:lang w:val="el-GR" w:eastAsia="en-US" w:bidi="ar-SA"/>
      </w:rPr>
    </w:lvl>
    <w:lvl w:ilvl="2" w:tplc="4BB02F08">
      <w:numFmt w:val="bullet"/>
      <w:lvlText w:val="•"/>
      <w:lvlJc w:val="left"/>
      <w:pPr>
        <w:ind w:left="1801" w:hanging="178"/>
      </w:pPr>
      <w:rPr>
        <w:rFonts w:hint="default"/>
        <w:lang w:val="el-GR" w:eastAsia="en-US" w:bidi="ar-SA"/>
      </w:rPr>
    </w:lvl>
    <w:lvl w:ilvl="3" w:tplc="AA6C8D42">
      <w:numFmt w:val="bullet"/>
      <w:lvlText w:val="•"/>
      <w:lvlJc w:val="left"/>
      <w:pPr>
        <w:ind w:left="2652" w:hanging="178"/>
      </w:pPr>
      <w:rPr>
        <w:rFonts w:hint="default"/>
        <w:lang w:val="el-GR" w:eastAsia="en-US" w:bidi="ar-SA"/>
      </w:rPr>
    </w:lvl>
    <w:lvl w:ilvl="4" w:tplc="B754A940">
      <w:numFmt w:val="bullet"/>
      <w:lvlText w:val="•"/>
      <w:lvlJc w:val="left"/>
      <w:pPr>
        <w:ind w:left="3503" w:hanging="178"/>
      </w:pPr>
      <w:rPr>
        <w:rFonts w:hint="default"/>
        <w:lang w:val="el-GR" w:eastAsia="en-US" w:bidi="ar-SA"/>
      </w:rPr>
    </w:lvl>
    <w:lvl w:ilvl="5" w:tplc="9794B77A">
      <w:numFmt w:val="bullet"/>
      <w:lvlText w:val="•"/>
      <w:lvlJc w:val="left"/>
      <w:pPr>
        <w:ind w:left="4354" w:hanging="178"/>
      </w:pPr>
      <w:rPr>
        <w:rFonts w:hint="default"/>
        <w:lang w:val="el-GR" w:eastAsia="en-US" w:bidi="ar-SA"/>
      </w:rPr>
    </w:lvl>
    <w:lvl w:ilvl="6" w:tplc="370C4ED8">
      <w:numFmt w:val="bullet"/>
      <w:lvlText w:val="•"/>
      <w:lvlJc w:val="left"/>
      <w:pPr>
        <w:ind w:left="5205" w:hanging="178"/>
      </w:pPr>
      <w:rPr>
        <w:rFonts w:hint="default"/>
        <w:lang w:val="el-GR" w:eastAsia="en-US" w:bidi="ar-SA"/>
      </w:rPr>
    </w:lvl>
    <w:lvl w:ilvl="7" w:tplc="11648956">
      <w:numFmt w:val="bullet"/>
      <w:lvlText w:val="•"/>
      <w:lvlJc w:val="left"/>
      <w:pPr>
        <w:ind w:left="6056" w:hanging="178"/>
      </w:pPr>
      <w:rPr>
        <w:rFonts w:hint="default"/>
        <w:lang w:val="el-GR" w:eastAsia="en-US" w:bidi="ar-SA"/>
      </w:rPr>
    </w:lvl>
    <w:lvl w:ilvl="8" w:tplc="43F2EAF8">
      <w:numFmt w:val="bullet"/>
      <w:lvlText w:val="•"/>
      <w:lvlJc w:val="left"/>
      <w:pPr>
        <w:ind w:left="6907" w:hanging="178"/>
      </w:pPr>
      <w:rPr>
        <w:rFonts w:hint="default"/>
        <w:lang w:val="el-GR" w:eastAsia="en-US" w:bidi="ar-SA"/>
      </w:rPr>
    </w:lvl>
  </w:abstractNum>
  <w:abstractNum w:abstractNumId="7" w15:restartNumberingAfterBreak="0">
    <w:nsid w:val="565B229E"/>
    <w:multiLevelType w:val="hybridMultilevel"/>
    <w:tmpl w:val="A0CC1CA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EE6303"/>
    <w:multiLevelType w:val="hybridMultilevel"/>
    <w:tmpl w:val="B37045D0"/>
    <w:lvl w:ilvl="0" w:tplc="B4BE671A">
      <w:numFmt w:val="bullet"/>
      <w:lvlText w:val="•"/>
      <w:lvlJc w:val="left"/>
      <w:pPr>
        <w:ind w:left="354" w:hanging="12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F06E68DE">
      <w:numFmt w:val="bullet"/>
      <w:lvlText w:val="•"/>
      <w:lvlJc w:val="left"/>
      <w:pPr>
        <w:ind w:left="1372" w:hanging="121"/>
      </w:pPr>
      <w:rPr>
        <w:rFonts w:hint="default"/>
        <w:lang w:val="el-GR" w:eastAsia="en-US" w:bidi="ar-SA"/>
      </w:rPr>
    </w:lvl>
    <w:lvl w:ilvl="2" w:tplc="92984238">
      <w:numFmt w:val="bullet"/>
      <w:lvlText w:val="•"/>
      <w:lvlJc w:val="left"/>
      <w:pPr>
        <w:ind w:left="2384" w:hanging="121"/>
      </w:pPr>
      <w:rPr>
        <w:rFonts w:hint="default"/>
        <w:lang w:val="el-GR" w:eastAsia="en-US" w:bidi="ar-SA"/>
      </w:rPr>
    </w:lvl>
    <w:lvl w:ilvl="3" w:tplc="EA08E0AC">
      <w:numFmt w:val="bullet"/>
      <w:lvlText w:val="•"/>
      <w:lvlJc w:val="left"/>
      <w:pPr>
        <w:ind w:left="3397" w:hanging="121"/>
      </w:pPr>
      <w:rPr>
        <w:rFonts w:hint="default"/>
        <w:lang w:val="el-GR" w:eastAsia="en-US" w:bidi="ar-SA"/>
      </w:rPr>
    </w:lvl>
    <w:lvl w:ilvl="4" w:tplc="A47C9164">
      <w:numFmt w:val="bullet"/>
      <w:lvlText w:val="•"/>
      <w:lvlJc w:val="left"/>
      <w:pPr>
        <w:ind w:left="4409" w:hanging="121"/>
      </w:pPr>
      <w:rPr>
        <w:rFonts w:hint="default"/>
        <w:lang w:val="el-GR" w:eastAsia="en-US" w:bidi="ar-SA"/>
      </w:rPr>
    </w:lvl>
    <w:lvl w:ilvl="5" w:tplc="37807338">
      <w:numFmt w:val="bullet"/>
      <w:lvlText w:val="•"/>
      <w:lvlJc w:val="left"/>
      <w:pPr>
        <w:ind w:left="5422" w:hanging="121"/>
      </w:pPr>
      <w:rPr>
        <w:rFonts w:hint="default"/>
        <w:lang w:val="el-GR" w:eastAsia="en-US" w:bidi="ar-SA"/>
      </w:rPr>
    </w:lvl>
    <w:lvl w:ilvl="6" w:tplc="B9C40F7C">
      <w:numFmt w:val="bullet"/>
      <w:lvlText w:val="•"/>
      <w:lvlJc w:val="left"/>
      <w:pPr>
        <w:ind w:left="6434" w:hanging="121"/>
      </w:pPr>
      <w:rPr>
        <w:rFonts w:hint="default"/>
        <w:lang w:val="el-GR" w:eastAsia="en-US" w:bidi="ar-SA"/>
      </w:rPr>
    </w:lvl>
    <w:lvl w:ilvl="7" w:tplc="68B0A83E">
      <w:numFmt w:val="bullet"/>
      <w:lvlText w:val="•"/>
      <w:lvlJc w:val="left"/>
      <w:pPr>
        <w:ind w:left="7446" w:hanging="121"/>
      </w:pPr>
      <w:rPr>
        <w:rFonts w:hint="default"/>
        <w:lang w:val="el-GR" w:eastAsia="en-US" w:bidi="ar-SA"/>
      </w:rPr>
    </w:lvl>
    <w:lvl w:ilvl="8" w:tplc="FD8A2B8A">
      <w:numFmt w:val="bullet"/>
      <w:lvlText w:val="•"/>
      <w:lvlJc w:val="left"/>
      <w:pPr>
        <w:ind w:left="8459" w:hanging="121"/>
      </w:pPr>
      <w:rPr>
        <w:rFonts w:hint="default"/>
        <w:lang w:val="el-GR" w:eastAsia="en-US" w:bidi="ar-SA"/>
      </w:rPr>
    </w:lvl>
  </w:abstractNum>
  <w:abstractNum w:abstractNumId="9" w15:restartNumberingAfterBreak="0">
    <w:nsid w:val="644C0E39"/>
    <w:multiLevelType w:val="hybridMultilevel"/>
    <w:tmpl w:val="BF78091E"/>
    <w:lvl w:ilvl="0" w:tplc="2FDA36FA">
      <w:numFmt w:val="bullet"/>
      <w:lvlText w:val=""/>
      <w:lvlJc w:val="left"/>
      <w:pPr>
        <w:ind w:left="1641" w:hanging="437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C8FDDC">
      <w:numFmt w:val="bullet"/>
      <w:lvlText w:val=""/>
      <w:lvlJc w:val="left"/>
      <w:pPr>
        <w:ind w:left="4897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2" w:tplc="86003D60">
      <w:numFmt w:val="bullet"/>
      <w:lvlText w:val="•"/>
      <w:lvlJc w:val="left"/>
      <w:pPr>
        <w:ind w:left="2871" w:hanging="360"/>
      </w:pPr>
      <w:rPr>
        <w:rFonts w:hint="default"/>
        <w:lang w:val="el-GR" w:eastAsia="en-US" w:bidi="ar-SA"/>
      </w:rPr>
    </w:lvl>
    <w:lvl w:ilvl="3" w:tplc="1F44FB8E">
      <w:numFmt w:val="bullet"/>
      <w:lvlText w:val="•"/>
      <w:lvlJc w:val="left"/>
      <w:pPr>
        <w:ind w:left="3823" w:hanging="360"/>
      </w:pPr>
      <w:rPr>
        <w:rFonts w:hint="default"/>
        <w:lang w:val="el-GR" w:eastAsia="en-US" w:bidi="ar-SA"/>
      </w:rPr>
    </w:lvl>
    <w:lvl w:ilvl="4" w:tplc="35E8851A">
      <w:numFmt w:val="bullet"/>
      <w:lvlText w:val="•"/>
      <w:lvlJc w:val="left"/>
      <w:pPr>
        <w:ind w:left="4774" w:hanging="360"/>
      </w:pPr>
      <w:rPr>
        <w:rFonts w:hint="default"/>
        <w:lang w:val="el-GR" w:eastAsia="en-US" w:bidi="ar-SA"/>
      </w:rPr>
    </w:lvl>
    <w:lvl w:ilvl="5" w:tplc="DB9A558A">
      <w:numFmt w:val="bullet"/>
      <w:lvlText w:val="•"/>
      <w:lvlJc w:val="left"/>
      <w:pPr>
        <w:ind w:left="5726" w:hanging="360"/>
      </w:pPr>
      <w:rPr>
        <w:rFonts w:hint="default"/>
        <w:lang w:val="el-GR" w:eastAsia="en-US" w:bidi="ar-SA"/>
      </w:rPr>
    </w:lvl>
    <w:lvl w:ilvl="6" w:tplc="E4FC13BA">
      <w:numFmt w:val="bullet"/>
      <w:lvlText w:val="•"/>
      <w:lvlJc w:val="left"/>
      <w:pPr>
        <w:ind w:left="6677" w:hanging="360"/>
      </w:pPr>
      <w:rPr>
        <w:rFonts w:hint="default"/>
        <w:lang w:val="el-GR" w:eastAsia="en-US" w:bidi="ar-SA"/>
      </w:rPr>
    </w:lvl>
    <w:lvl w:ilvl="7" w:tplc="3D380540">
      <w:numFmt w:val="bullet"/>
      <w:lvlText w:val="•"/>
      <w:lvlJc w:val="left"/>
      <w:pPr>
        <w:ind w:left="7629" w:hanging="360"/>
      </w:pPr>
      <w:rPr>
        <w:rFonts w:hint="default"/>
        <w:lang w:val="el-GR" w:eastAsia="en-US" w:bidi="ar-SA"/>
      </w:rPr>
    </w:lvl>
    <w:lvl w:ilvl="8" w:tplc="E7EE407C">
      <w:numFmt w:val="bullet"/>
      <w:lvlText w:val="•"/>
      <w:lvlJc w:val="left"/>
      <w:pPr>
        <w:ind w:left="858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74A1073A"/>
    <w:multiLevelType w:val="hybridMultilevel"/>
    <w:tmpl w:val="EF40F0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97328">
    <w:abstractNumId w:val="8"/>
  </w:num>
  <w:num w:numId="2" w16cid:durableId="1986934767">
    <w:abstractNumId w:val="6"/>
  </w:num>
  <w:num w:numId="3" w16cid:durableId="1733120855">
    <w:abstractNumId w:val="9"/>
  </w:num>
  <w:num w:numId="4" w16cid:durableId="1997874818">
    <w:abstractNumId w:val="0"/>
  </w:num>
  <w:num w:numId="5" w16cid:durableId="394015955">
    <w:abstractNumId w:val="10"/>
  </w:num>
  <w:num w:numId="6" w16cid:durableId="1984116209">
    <w:abstractNumId w:val="5"/>
  </w:num>
  <w:num w:numId="7" w16cid:durableId="1411198555">
    <w:abstractNumId w:val="3"/>
  </w:num>
  <w:num w:numId="8" w16cid:durableId="1739326337">
    <w:abstractNumId w:val="4"/>
  </w:num>
  <w:num w:numId="9" w16cid:durableId="2114669987">
    <w:abstractNumId w:val="1"/>
  </w:num>
  <w:num w:numId="10" w16cid:durableId="71901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4632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1DA"/>
    <w:rsid w:val="0002419E"/>
    <w:rsid w:val="0003649D"/>
    <w:rsid w:val="00057641"/>
    <w:rsid w:val="00063073"/>
    <w:rsid w:val="0007025D"/>
    <w:rsid w:val="0007369A"/>
    <w:rsid w:val="0008497E"/>
    <w:rsid w:val="000C02CA"/>
    <w:rsid w:val="000C412D"/>
    <w:rsid w:val="000D4A00"/>
    <w:rsid w:val="00106F5F"/>
    <w:rsid w:val="001231F2"/>
    <w:rsid w:val="00126FF0"/>
    <w:rsid w:val="00145AA9"/>
    <w:rsid w:val="00150180"/>
    <w:rsid w:val="0015446E"/>
    <w:rsid w:val="001667F9"/>
    <w:rsid w:val="0018710E"/>
    <w:rsid w:val="001A494C"/>
    <w:rsid w:val="001B0DC7"/>
    <w:rsid w:val="001B4FA0"/>
    <w:rsid w:val="001D1C1F"/>
    <w:rsid w:val="001D3FF0"/>
    <w:rsid w:val="001F415C"/>
    <w:rsid w:val="00201A1D"/>
    <w:rsid w:val="002042BA"/>
    <w:rsid w:val="00231EE9"/>
    <w:rsid w:val="00240C6B"/>
    <w:rsid w:val="00243BA4"/>
    <w:rsid w:val="00253C6E"/>
    <w:rsid w:val="00267554"/>
    <w:rsid w:val="00294E43"/>
    <w:rsid w:val="002A7BEE"/>
    <w:rsid w:val="002B2CB6"/>
    <w:rsid w:val="002B4A58"/>
    <w:rsid w:val="002D6DDD"/>
    <w:rsid w:val="002D6F92"/>
    <w:rsid w:val="002E01BD"/>
    <w:rsid w:val="002E2A9C"/>
    <w:rsid w:val="002E6FD5"/>
    <w:rsid w:val="003176C0"/>
    <w:rsid w:val="003505A9"/>
    <w:rsid w:val="003611F6"/>
    <w:rsid w:val="003C0B42"/>
    <w:rsid w:val="003F3F20"/>
    <w:rsid w:val="004225F3"/>
    <w:rsid w:val="0042576B"/>
    <w:rsid w:val="00465E53"/>
    <w:rsid w:val="00502EF4"/>
    <w:rsid w:val="00511607"/>
    <w:rsid w:val="0054157E"/>
    <w:rsid w:val="005543E0"/>
    <w:rsid w:val="00584460"/>
    <w:rsid w:val="005857FD"/>
    <w:rsid w:val="005C3C52"/>
    <w:rsid w:val="005C5E1E"/>
    <w:rsid w:val="005E15F1"/>
    <w:rsid w:val="005F5D21"/>
    <w:rsid w:val="0061568E"/>
    <w:rsid w:val="006209A5"/>
    <w:rsid w:val="006501DA"/>
    <w:rsid w:val="006835D5"/>
    <w:rsid w:val="00692FEF"/>
    <w:rsid w:val="006A5817"/>
    <w:rsid w:val="006B3AFB"/>
    <w:rsid w:val="006F2738"/>
    <w:rsid w:val="006F68D0"/>
    <w:rsid w:val="00720489"/>
    <w:rsid w:val="00722400"/>
    <w:rsid w:val="00747BA0"/>
    <w:rsid w:val="00770EF4"/>
    <w:rsid w:val="007816B7"/>
    <w:rsid w:val="007961A4"/>
    <w:rsid w:val="007A0D92"/>
    <w:rsid w:val="007A4014"/>
    <w:rsid w:val="007E1DF8"/>
    <w:rsid w:val="007F3BA2"/>
    <w:rsid w:val="0080055D"/>
    <w:rsid w:val="00811115"/>
    <w:rsid w:val="008313FA"/>
    <w:rsid w:val="00831DBF"/>
    <w:rsid w:val="00850711"/>
    <w:rsid w:val="00882AF6"/>
    <w:rsid w:val="00883FF7"/>
    <w:rsid w:val="00884EE5"/>
    <w:rsid w:val="008B6223"/>
    <w:rsid w:val="008D6A1C"/>
    <w:rsid w:val="00921DCB"/>
    <w:rsid w:val="00932A87"/>
    <w:rsid w:val="009578F1"/>
    <w:rsid w:val="0097556C"/>
    <w:rsid w:val="009B6247"/>
    <w:rsid w:val="009B79B7"/>
    <w:rsid w:val="009D1F54"/>
    <w:rsid w:val="00A06788"/>
    <w:rsid w:val="00A13C55"/>
    <w:rsid w:val="00A225A6"/>
    <w:rsid w:val="00A23925"/>
    <w:rsid w:val="00A334AA"/>
    <w:rsid w:val="00A36AF9"/>
    <w:rsid w:val="00A40901"/>
    <w:rsid w:val="00A506A2"/>
    <w:rsid w:val="00AC6093"/>
    <w:rsid w:val="00AC7068"/>
    <w:rsid w:val="00AF550B"/>
    <w:rsid w:val="00B27376"/>
    <w:rsid w:val="00B474AD"/>
    <w:rsid w:val="00B50954"/>
    <w:rsid w:val="00B82D64"/>
    <w:rsid w:val="00B87A5B"/>
    <w:rsid w:val="00BA1873"/>
    <w:rsid w:val="00BA4C7F"/>
    <w:rsid w:val="00BB4199"/>
    <w:rsid w:val="00C02C9E"/>
    <w:rsid w:val="00C244B8"/>
    <w:rsid w:val="00C44ED5"/>
    <w:rsid w:val="00C606EA"/>
    <w:rsid w:val="00C60E64"/>
    <w:rsid w:val="00C717CD"/>
    <w:rsid w:val="00C76F3F"/>
    <w:rsid w:val="00CA7B18"/>
    <w:rsid w:val="00CF46E6"/>
    <w:rsid w:val="00CF7B1C"/>
    <w:rsid w:val="00D1525C"/>
    <w:rsid w:val="00D30D5A"/>
    <w:rsid w:val="00D37DE7"/>
    <w:rsid w:val="00D56CD1"/>
    <w:rsid w:val="00D80E92"/>
    <w:rsid w:val="00D930BC"/>
    <w:rsid w:val="00DA37FA"/>
    <w:rsid w:val="00DF036E"/>
    <w:rsid w:val="00E15431"/>
    <w:rsid w:val="00E15C1B"/>
    <w:rsid w:val="00E457A2"/>
    <w:rsid w:val="00E518A2"/>
    <w:rsid w:val="00E53BEE"/>
    <w:rsid w:val="00E56809"/>
    <w:rsid w:val="00E619DA"/>
    <w:rsid w:val="00E83BF9"/>
    <w:rsid w:val="00E91BC0"/>
    <w:rsid w:val="00E95A75"/>
    <w:rsid w:val="00EC2F4C"/>
    <w:rsid w:val="00EC3243"/>
    <w:rsid w:val="00F5058D"/>
    <w:rsid w:val="00F54366"/>
    <w:rsid w:val="00F658FF"/>
    <w:rsid w:val="00F748E2"/>
    <w:rsid w:val="00F82F19"/>
    <w:rsid w:val="00F96C36"/>
    <w:rsid w:val="00FF2284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F96A"/>
  <w15:docId w15:val="{98605DE3-E390-4977-B4BC-C2E27FB6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01DA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1DA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501DA"/>
    <w:pPr>
      <w:ind w:left="694" w:right="549"/>
      <w:jc w:val="center"/>
      <w:outlineLvl w:val="1"/>
    </w:pPr>
    <w:rPr>
      <w:b/>
      <w:bCs/>
      <w:sz w:val="28"/>
      <w:szCs w:val="28"/>
    </w:rPr>
  </w:style>
  <w:style w:type="paragraph" w:customStyle="1" w:styleId="21">
    <w:name w:val="Επικεφαλίδα 21"/>
    <w:basedOn w:val="a"/>
    <w:uiPriority w:val="1"/>
    <w:qFormat/>
    <w:rsid w:val="006501DA"/>
    <w:pPr>
      <w:ind w:left="35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501DA"/>
    <w:pPr>
      <w:ind w:left="1924" w:hanging="360"/>
    </w:pPr>
  </w:style>
  <w:style w:type="paragraph" w:customStyle="1" w:styleId="TableParagraph">
    <w:name w:val="Table Paragraph"/>
    <w:basedOn w:val="a"/>
    <w:uiPriority w:val="1"/>
    <w:qFormat/>
    <w:rsid w:val="006501DA"/>
  </w:style>
  <w:style w:type="paragraph" w:styleId="a5">
    <w:name w:val="Balloon Text"/>
    <w:basedOn w:val="a"/>
    <w:link w:val="Char"/>
    <w:uiPriority w:val="99"/>
    <w:semiHidden/>
    <w:unhideWhenUsed/>
    <w:rsid w:val="00253C6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53C6E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semiHidden/>
    <w:unhideWhenUsed/>
    <w:rsid w:val="00CA7B1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CA7B18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semiHidden/>
    <w:unhideWhenUsed/>
    <w:rsid w:val="00CA7B1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CA7B18"/>
    <w:rPr>
      <w:rFonts w:ascii="Calibri" w:eastAsia="Calibri" w:hAnsi="Calibri" w:cs="Calibri"/>
      <w:lang w:val="el-GR"/>
    </w:rPr>
  </w:style>
  <w:style w:type="paragraph" w:customStyle="1" w:styleId="Default">
    <w:name w:val="Default"/>
    <w:rsid w:val="00F748E2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658FF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6A5817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92FEF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6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C412D"/>
    <w:rPr>
      <w:color w:val="800080" w:themeColor="followedHyperlink"/>
      <w:u w:val="single"/>
    </w:rPr>
  </w:style>
  <w:style w:type="paragraph" w:styleId="ab">
    <w:name w:val="caption"/>
    <w:aliases w:val="Didascalia figure"/>
    <w:basedOn w:val="a"/>
    <w:next w:val="a"/>
    <w:uiPriority w:val="99"/>
    <w:qFormat/>
    <w:rsid w:val="002E2A9C"/>
    <w:pPr>
      <w:widowControl/>
      <w:autoSpaceDE/>
      <w:autoSpaceDN/>
      <w:spacing w:after="120" w:line="320" w:lineRule="atLeast"/>
      <w:ind w:left="885" w:hanging="885"/>
      <w:jc w:val="center"/>
    </w:pPr>
    <w:rPr>
      <w:rFonts w:asciiTheme="minorHAnsi" w:eastAsia="Times New Roman" w:hAnsiTheme="minorHAnsi" w:cstheme="minorHAnsi"/>
      <w:b/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firework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ilprotection.gov.gr/odigies-prostasias/biomihanika-atyhimat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aptixi@crete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BE33-52D2-4B2C-A2E4-293639E4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ΕΠΕΙΓΟΝ</vt:lpstr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ΕΠΕΙΓΟΝ</dc:title>
  <dc:creator>STELLA</dc:creator>
  <cp:lastModifiedBy>Μαρία Κοντοπόδη</cp:lastModifiedBy>
  <cp:revision>86</cp:revision>
  <cp:lastPrinted>2021-05-13T08:57:00Z</cp:lastPrinted>
  <dcterms:created xsi:type="dcterms:W3CDTF">2021-05-11T05:42:00Z</dcterms:created>
  <dcterms:modified xsi:type="dcterms:W3CDTF">2024-01-02T08:23:00Z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</Properties>
</file>